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5620B">
      <w:pPr>
        <w:pStyle w:val="8"/>
        <w:ind w:right="-315" w:rightChars="-150"/>
        <w:jc w:val="center"/>
        <w:rPr>
          <w:rFonts w:hint="eastAsia" w:ascii="宋体" w:hAnsi="宋体" w:eastAsia="宋体" w:cs="宋体"/>
          <w:b/>
          <w:bCs/>
          <w:color w:val="000000" w:themeColor="text1"/>
          <w:sz w:val="36"/>
          <w:szCs w:val="36"/>
          <w:highlight w:val="none"/>
          <w:lang w:eastAsia="zh-CN"/>
          <w14:textFill>
            <w14:solidFill>
              <w14:schemeClr w14:val="tx1"/>
            </w14:solidFill>
          </w14:textFill>
        </w:rPr>
      </w:pPr>
    </w:p>
    <w:p w14:paraId="5B234806">
      <w:pPr>
        <w:pStyle w:val="8"/>
        <w:ind w:right="-315" w:rightChars="-150"/>
        <w:jc w:val="center"/>
        <w:rPr>
          <w:rFonts w:hint="eastAsia" w:ascii="宋体" w:hAnsi="宋体" w:eastAsia="宋体" w:cs="宋体"/>
          <w:b/>
          <w:bCs/>
          <w:color w:val="000000" w:themeColor="text1"/>
          <w:sz w:val="36"/>
          <w:szCs w:val="36"/>
          <w:highlight w:val="none"/>
          <w:lang w:eastAsia="zh-CN"/>
          <w14:textFill>
            <w14:solidFill>
              <w14:schemeClr w14:val="tx1"/>
            </w14:solidFill>
          </w14:textFill>
        </w:rPr>
      </w:pPr>
    </w:p>
    <w:p w14:paraId="18606DB5">
      <w:pPr>
        <w:pStyle w:val="8"/>
        <w:ind w:right="-315" w:rightChars="-150"/>
        <w:jc w:val="center"/>
        <w:rPr>
          <w:rFonts w:hint="eastAsia" w:ascii="宋体" w:hAnsi="宋体" w:eastAsia="宋体" w:cs="宋体"/>
          <w:b/>
          <w:bCs/>
          <w:color w:val="000000" w:themeColor="text1"/>
          <w:sz w:val="44"/>
          <w:szCs w:val="44"/>
          <w:highlight w:val="none"/>
          <w:lang w:val="en-US" w:eastAsia="zh-CN"/>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华水水业公司、华水农村供水公司管道应急维修及零星作业已入围班组2025年分片区招标</w:t>
      </w:r>
    </w:p>
    <w:p w14:paraId="0B78921D">
      <w:pPr>
        <w:pStyle w:val="8"/>
        <w:ind w:right="-315" w:rightChars="-150"/>
        <w:rPr>
          <w:rFonts w:hint="eastAsia" w:ascii="宋体" w:hAnsi="宋体" w:eastAsia="宋体" w:cs="宋体"/>
          <w:b/>
          <w:color w:val="000000" w:themeColor="text1"/>
          <w:sz w:val="44"/>
          <w:szCs w:val="44"/>
          <w:highlight w:val="none"/>
          <w14:textFill>
            <w14:solidFill>
              <w14:schemeClr w14:val="tx1"/>
            </w14:solidFill>
          </w14:textFill>
        </w:rPr>
      </w:pPr>
    </w:p>
    <w:p w14:paraId="1F941F6A">
      <w:pPr>
        <w:ind w:left="-315" w:leftChars="-150" w:right="-315" w:rightChars="-150"/>
        <w:rPr>
          <w:rFonts w:hint="eastAsia" w:ascii="宋体" w:hAnsi="宋体" w:eastAsia="宋体" w:cs="宋体"/>
          <w:color w:val="000000" w:themeColor="text1"/>
          <w:sz w:val="28"/>
          <w:highlight w:val="none"/>
          <w14:textFill>
            <w14:solidFill>
              <w14:schemeClr w14:val="tx1"/>
            </w14:solidFill>
          </w14:textFill>
        </w:rPr>
      </w:pPr>
    </w:p>
    <w:p w14:paraId="4BED5AED">
      <w:pPr>
        <w:ind w:left="-315" w:leftChars="-150" w:right="-315" w:rightChars="-150"/>
        <w:jc w:val="center"/>
        <w:rPr>
          <w:rFonts w:hint="eastAsia" w:ascii="宋体" w:hAnsi="宋体" w:eastAsia="宋体" w:cs="宋体"/>
          <w:color w:val="000000" w:themeColor="text1"/>
          <w:sz w:val="100"/>
          <w:highlight w:val="none"/>
          <w14:textFill>
            <w14:solidFill>
              <w14:schemeClr w14:val="tx1"/>
            </w14:solidFill>
          </w14:textFill>
        </w:rPr>
      </w:pPr>
      <w:r>
        <w:rPr>
          <w:rFonts w:hint="eastAsia" w:ascii="宋体" w:hAnsi="宋体" w:eastAsia="宋体" w:cs="宋体"/>
          <w:color w:val="000000" w:themeColor="text1"/>
          <w:sz w:val="100"/>
          <w:highlight w:val="none"/>
          <w14:textFill>
            <w14:solidFill>
              <w14:schemeClr w14:val="tx1"/>
            </w14:solidFill>
          </w14:textFill>
        </w:rPr>
        <w:t>招 标 文 件</w:t>
      </w:r>
    </w:p>
    <w:p w14:paraId="11298B49">
      <w:pPr>
        <w:ind w:left="-315" w:leftChars="-150" w:right="-315" w:rightChars="-150"/>
        <w:jc w:val="center"/>
        <w:rPr>
          <w:rFonts w:hint="eastAsia" w:ascii="宋体" w:hAnsi="宋体" w:eastAsia="宋体" w:cs="宋体"/>
          <w:color w:val="000000" w:themeColor="text1"/>
          <w:sz w:val="28"/>
          <w:highlight w:val="none"/>
          <w14:textFill>
            <w14:solidFill>
              <w14:schemeClr w14:val="tx1"/>
            </w14:solidFill>
          </w14:textFill>
        </w:rPr>
      </w:pPr>
    </w:p>
    <w:p w14:paraId="62F49945">
      <w:pPr>
        <w:ind w:left="-315" w:leftChars="-150" w:right="-315" w:rightChars="-150" w:firstLine="2088" w:firstLineChars="650"/>
        <w:rPr>
          <w:rFonts w:hint="eastAsia" w:ascii="宋体" w:hAnsi="宋体" w:eastAsia="宋体" w:cs="宋体"/>
          <w:b/>
          <w:color w:val="000000" w:themeColor="text1"/>
          <w:sz w:val="32"/>
          <w:highlight w:val="none"/>
          <w14:textFill>
            <w14:solidFill>
              <w14:schemeClr w14:val="tx1"/>
            </w14:solidFill>
          </w14:textFill>
        </w:rPr>
      </w:pPr>
    </w:p>
    <w:p w14:paraId="5263003D">
      <w:pPr>
        <w:ind w:right="-315" w:rightChars="-150"/>
        <w:jc w:val="center"/>
        <w:rPr>
          <w:rFonts w:hint="eastAsia" w:ascii="宋体" w:hAnsi="宋体" w:eastAsia="宋体" w:cs="宋体"/>
          <w:b/>
          <w:color w:val="000000" w:themeColor="text1"/>
          <w:sz w:val="32"/>
          <w:highlight w:val="none"/>
          <w:u w:val="single"/>
          <w:lang w:val="en-US" w:eastAsia="zh-CN"/>
          <w14:textFill>
            <w14:solidFill>
              <w14:schemeClr w14:val="tx1"/>
            </w14:solidFill>
          </w14:textFill>
        </w:rPr>
      </w:pPr>
      <w:r>
        <w:rPr>
          <w:rFonts w:hint="eastAsia" w:ascii="宋体" w:hAnsi="宋体" w:eastAsia="宋体" w:cs="宋体"/>
          <w:b/>
          <w:color w:val="000000" w:themeColor="text1"/>
          <w:sz w:val="32"/>
          <w:highlight w:val="none"/>
          <w14:textFill>
            <w14:solidFill>
              <w14:schemeClr w14:val="tx1"/>
            </w14:solidFill>
          </w14:textFill>
        </w:rPr>
        <w:t>招标编号：</w:t>
      </w:r>
      <w:r>
        <w:rPr>
          <w:rFonts w:hint="eastAsia" w:ascii="宋体" w:hAnsi="宋体" w:eastAsia="宋体" w:cs="宋体"/>
          <w:b/>
          <w:color w:val="000000" w:themeColor="text1"/>
          <w:sz w:val="32"/>
          <w:highlight w:val="none"/>
          <w:u w:val="single"/>
          <w:lang w:eastAsia="zh-CN"/>
          <w14:textFill>
            <w14:solidFill>
              <w14:schemeClr w14:val="tx1"/>
            </w14:solidFill>
          </w14:textFill>
        </w:rPr>
        <w:t>HZGSCG2025-041</w:t>
      </w:r>
    </w:p>
    <w:p w14:paraId="5CBB3CD1">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p w14:paraId="644C86E7">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p w14:paraId="6C4D980F">
      <w:pPr>
        <w:ind w:right="-315" w:rightChars="-150"/>
        <w:rPr>
          <w:rFonts w:hint="eastAsia" w:ascii="宋体" w:hAnsi="宋体" w:eastAsia="宋体" w:cs="宋体"/>
          <w:color w:val="000000" w:themeColor="text1"/>
          <w:sz w:val="22"/>
          <w:szCs w:val="15"/>
          <w:highlight w:val="none"/>
          <w14:textFill>
            <w14:solidFill>
              <w14:schemeClr w14:val="tx1"/>
            </w14:solidFill>
          </w14:textFill>
        </w:rPr>
      </w:pPr>
    </w:p>
    <w:p w14:paraId="1287BA50">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p w14:paraId="35AB44C0">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p w14:paraId="7B1B167A">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p w14:paraId="195543E9">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p w14:paraId="19C39D37">
      <w:pPr>
        <w:ind w:left="-315" w:leftChars="-150" w:right="-315" w:rightChars="-150"/>
        <w:jc w:val="center"/>
        <w:rPr>
          <w:rFonts w:hint="eastAsia" w:ascii="宋体" w:hAnsi="宋体" w:eastAsia="宋体" w:cs="宋体"/>
          <w:color w:val="000000" w:themeColor="text1"/>
          <w:sz w:val="22"/>
          <w:szCs w:val="15"/>
          <w:highlight w:val="none"/>
          <w14:textFill>
            <w14:solidFill>
              <w14:schemeClr w14:val="tx1"/>
            </w14:solidFill>
          </w14:textFill>
        </w:rPr>
      </w:pPr>
    </w:p>
    <w:tbl>
      <w:tblPr>
        <w:tblStyle w:val="27"/>
        <w:tblW w:w="8460" w:type="dxa"/>
        <w:jc w:val="center"/>
        <w:tblLayout w:type="fixed"/>
        <w:tblCellMar>
          <w:top w:w="0" w:type="dxa"/>
          <w:left w:w="108" w:type="dxa"/>
          <w:bottom w:w="0" w:type="dxa"/>
          <w:right w:w="108" w:type="dxa"/>
        </w:tblCellMar>
      </w:tblPr>
      <w:tblGrid>
        <w:gridCol w:w="8460"/>
      </w:tblGrid>
      <w:tr w14:paraId="79806E07">
        <w:trPr>
          <w:trHeight w:val="1161" w:hRule="atLeast"/>
          <w:jc w:val="center"/>
        </w:trPr>
        <w:tc>
          <w:tcPr>
            <w:tcW w:w="8460" w:type="dxa"/>
          </w:tcPr>
          <w:p w14:paraId="2E21533E">
            <w:pPr>
              <w:pStyle w:val="20"/>
              <w:adjustRightInd w:val="0"/>
              <w:snapToGrid w:val="0"/>
              <w:spacing w:before="218" w:beforeLines="70" w:after="218" w:afterLines="70" w:line="240" w:lineRule="auto"/>
              <w:jc w:val="left"/>
              <w:rPr>
                <w:rFonts w:hint="eastAsia" w:ascii="宋体" w:hAnsi="宋体" w:eastAsia="宋体" w:cs="宋体"/>
                <w:b/>
                <w:color w:val="000000" w:themeColor="text1"/>
                <w:sz w:val="28"/>
                <w:highlight w:val="none"/>
                <w:u w:val="single"/>
                <w14:textFill>
                  <w14:solidFill>
                    <w14:schemeClr w14:val="tx1"/>
                  </w14:solidFill>
                </w14:textFill>
              </w:rPr>
            </w:pPr>
            <w:r>
              <w:rPr>
                <w:rFonts w:hint="eastAsia" w:ascii="宋体" w:hAnsi="宋体" w:eastAsia="宋体" w:cs="宋体"/>
                <w:b/>
                <w:color w:val="000000" w:themeColor="text1"/>
                <w:spacing w:val="30"/>
                <w:sz w:val="28"/>
                <w:highlight w:val="none"/>
                <w14:textFill>
                  <w14:solidFill>
                    <w14:schemeClr w14:val="tx1"/>
                  </w14:solidFill>
                </w14:textFill>
              </w:rPr>
              <w:t>招标人</w:t>
            </w:r>
            <w:r>
              <w:rPr>
                <w:rFonts w:hint="eastAsia" w:ascii="宋体" w:hAnsi="宋体" w:eastAsia="宋体" w:cs="宋体"/>
                <w:b/>
                <w:color w:val="000000" w:themeColor="text1"/>
                <w:sz w:val="28"/>
                <w:highlight w:val="none"/>
                <w14:textFill>
                  <w14:solidFill>
                    <w14:schemeClr w14:val="tx1"/>
                  </w14:solidFill>
                </w14:textFill>
              </w:rPr>
              <w:t>：</w:t>
            </w:r>
            <w:r>
              <w:rPr>
                <w:rFonts w:hint="eastAsia" w:ascii="宋体" w:hAnsi="宋体" w:eastAsia="宋体" w:cs="宋体"/>
                <w:b/>
                <w:color w:val="000000" w:themeColor="text1"/>
                <w:sz w:val="28"/>
                <w:highlight w:val="none"/>
                <w:u w:val="single"/>
                <w14:textFill>
                  <w14:solidFill>
                    <w14:schemeClr w14:val="tx1"/>
                  </w14:solidFill>
                </w14:textFill>
              </w:rPr>
              <w:t xml:space="preserve">          </w:t>
            </w:r>
            <w:r>
              <w:rPr>
                <w:rFonts w:hint="eastAsia" w:ascii="宋体" w:hAnsi="宋体" w:eastAsia="宋体" w:cs="宋体"/>
                <w:b/>
                <w:color w:val="000000" w:themeColor="text1"/>
                <w:sz w:val="28"/>
                <w:highlight w:val="none"/>
                <w:u w:val="single"/>
                <w:lang w:eastAsia="zh-CN"/>
                <w14:textFill>
                  <w14:solidFill>
                    <w14:schemeClr w14:val="tx1"/>
                  </w14:solidFill>
                </w14:textFill>
              </w:rPr>
              <w:t>龙游华水水业发展有限公司</w:t>
            </w:r>
            <w:r>
              <w:rPr>
                <w:rFonts w:hint="eastAsia" w:ascii="宋体" w:hAnsi="宋体" w:eastAsia="宋体" w:cs="宋体"/>
                <w:b/>
                <w:color w:val="000000" w:themeColor="text1"/>
                <w:sz w:val="28"/>
                <w:highlight w:val="none"/>
                <w:u w:val="single"/>
                <w14:textFill>
                  <w14:solidFill>
                    <w14:schemeClr w14:val="tx1"/>
                  </w14:solidFill>
                </w14:textFill>
              </w:rPr>
              <w:t xml:space="preserve">       （盖章）</w:t>
            </w:r>
          </w:p>
        </w:tc>
      </w:tr>
      <w:tr w14:paraId="59B04CDC">
        <w:tblPrEx>
          <w:tblCellMar>
            <w:top w:w="0" w:type="dxa"/>
            <w:left w:w="108" w:type="dxa"/>
            <w:bottom w:w="0" w:type="dxa"/>
            <w:right w:w="108" w:type="dxa"/>
          </w:tblCellMar>
        </w:tblPrEx>
        <w:trPr>
          <w:trHeight w:val="1208" w:hRule="atLeast"/>
          <w:jc w:val="center"/>
        </w:trPr>
        <w:tc>
          <w:tcPr>
            <w:tcW w:w="8460" w:type="dxa"/>
          </w:tcPr>
          <w:p w14:paraId="2B86DE1E">
            <w:pPr>
              <w:pStyle w:val="20"/>
              <w:adjustRightInd w:val="0"/>
              <w:snapToGrid w:val="0"/>
              <w:spacing w:before="218" w:beforeLines="70" w:after="218" w:afterLines="70" w:line="240" w:lineRule="auto"/>
              <w:jc w:val="left"/>
              <w:rPr>
                <w:rFonts w:hint="eastAsia" w:ascii="宋体" w:hAnsi="宋体" w:eastAsia="宋体" w:cs="宋体"/>
                <w:b/>
                <w:color w:val="000000" w:themeColor="text1"/>
                <w:sz w:val="28"/>
                <w:highlight w:val="none"/>
                <w14:textFill>
                  <w14:solidFill>
                    <w14:schemeClr w14:val="tx1"/>
                  </w14:solidFill>
                </w14:textFill>
              </w:rPr>
            </w:pPr>
            <w:r>
              <w:rPr>
                <w:rFonts w:hint="eastAsia" w:ascii="宋体" w:hAnsi="宋体" w:eastAsia="宋体" w:cs="宋体"/>
                <w:b/>
                <w:color w:val="000000" w:themeColor="text1"/>
                <w:sz w:val="28"/>
                <w:highlight w:val="none"/>
                <w14:textFill>
                  <w14:solidFill>
                    <w14:schemeClr w14:val="tx1"/>
                  </w14:solidFill>
                </w14:textFill>
              </w:rPr>
              <w:t>招标代理机构：</w:t>
            </w:r>
            <w:r>
              <w:rPr>
                <w:rFonts w:hint="eastAsia" w:ascii="宋体" w:hAnsi="宋体" w:eastAsia="宋体" w:cs="宋体"/>
                <w:b/>
                <w:color w:val="000000" w:themeColor="text1"/>
                <w:sz w:val="28"/>
                <w:highlight w:val="none"/>
                <w:u w:val="single"/>
                <w14:textFill>
                  <w14:solidFill>
                    <w14:schemeClr w14:val="tx1"/>
                  </w14:solidFill>
                </w14:textFill>
              </w:rPr>
              <w:t xml:space="preserve">      </w:t>
            </w:r>
            <w:r>
              <w:rPr>
                <w:rFonts w:hint="eastAsia" w:ascii="宋体" w:hAnsi="宋体" w:eastAsia="宋体" w:cs="宋体"/>
                <w:b/>
                <w:color w:val="000000" w:themeColor="text1"/>
                <w:sz w:val="28"/>
                <w:highlight w:val="none"/>
                <w:u w:val="single"/>
                <w:lang w:eastAsia="zh-CN"/>
                <w14:textFill>
                  <w14:solidFill>
                    <w14:schemeClr w14:val="tx1"/>
                  </w14:solidFill>
                </w14:textFill>
              </w:rPr>
              <w:t>杭州广厦建筑咨询有限公司</w:t>
            </w:r>
            <w:r>
              <w:rPr>
                <w:rFonts w:hint="eastAsia" w:ascii="宋体" w:hAnsi="宋体" w:eastAsia="宋体" w:cs="宋体"/>
                <w:b/>
                <w:color w:val="000000" w:themeColor="text1"/>
                <w:sz w:val="28"/>
                <w:highlight w:val="none"/>
                <w:u w:val="single"/>
                <w14:textFill>
                  <w14:solidFill>
                    <w14:schemeClr w14:val="tx1"/>
                  </w14:solidFill>
                </w14:textFill>
              </w:rPr>
              <w:t xml:space="preserve">      （盖章）</w:t>
            </w:r>
          </w:p>
        </w:tc>
      </w:tr>
      <w:tr w14:paraId="5624269A">
        <w:tblPrEx>
          <w:tblCellMar>
            <w:top w:w="0" w:type="dxa"/>
            <w:left w:w="108" w:type="dxa"/>
            <w:bottom w:w="0" w:type="dxa"/>
            <w:right w:w="108" w:type="dxa"/>
          </w:tblCellMar>
        </w:tblPrEx>
        <w:trPr>
          <w:trHeight w:val="991" w:hRule="atLeast"/>
          <w:jc w:val="center"/>
        </w:trPr>
        <w:tc>
          <w:tcPr>
            <w:tcW w:w="8460" w:type="dxa"/>
          </w:tcPr>
          <w:p w14:paraId="54D6ADD7">
            <w:pPr>
              <w:pStyle w:val="20"/>
              <w:adjustRightInd w:val="0"/>
              <w:snapToGrid w:val="0"/>
              <w:spacing w:before="218" w:beforeLines="70" w:after="218" w:afterLines="70" w:line="240" w:lineRule="auto"/>
              <w:jc w:val="center"/>
              <w:rPr>
                <w:rFonts w:hint="eastAsia" w:ascii="宋体" w:hAnsi="宋体" w:eastAsia="宋体" w:cs="宋体"/>
                <w:b/>
                <w:color w:val="000000" w:themeColor="text1"/>
                <w:sz w:val="28"/>
                <w:highlight w:val="none"/>
                <w14:textFill>
                  <w14:solidFill>
                    <w14:schemeClr w14:val="tx1"/>
                  </w14:solidFill>
                </w14:textFill>
              </w:rPr>
            </w:pPr>
            <w:r>
              <w:rPr>
                <w:rFonts w:hint="eastAsia" w:ascii="宋体" w:hAnsi="宋体" w:eastAsia="宋体" w:cs="宋体"/>
                <w:b/>
                <w:color w:val="000000" w:themeColor="text1"/>
                <w:sz w:val="28"/>
                <w:highlight w:val="none"/>
                <w14:textFill>
                  <w14:solidFill>
                    <w14:schemeClr w14:val="tx1"/>
                  </w14:solidFill>
                </w14:textFill>
              </w:rPr>
              <w:t>日期：</w:t>
            </w:r>
            <w:r>
              <w:rPr>
                <w:rFonts w:hint="eastAsia" w:ascii="宋体" w:hAnsi="宋体" w:eastAsia="宋体" w:cs="宋体"/>
                <w:b/>
                <w:color w:val="000000" w:themeColor="text1"/>
                <w:sz w:val="28"/>
                <w:highlight w:val="none"/>
                <w:u w:val="single"/>
                <w:lang w:val="en-GB"/>
                <w14:textFill>
                  <w14:solidFill>
                    <w14:schemeClr w14:val="tx1"/>
                  </w14:solidFill>
                </w14:textFill>
              </w:rPr>
              <w:t>202</w:t>
            </w:r>
            <w:r>
              <w:rPr>
                <w:rFonts w:hint="eastAsia" w:ascii="宋体" w:hAnsi="宋体" w:eastAsia="宋体" w:cs="宋体"/>
                <w:b/>
                <w:color w:val="000000" w:themeColor="text1"/>
                <w:sz w:val="28"/>
                <w:highlight w:val="none"/>
                <w:u w:val="single"/>
                <w:lang w:val="en-US" w:eastAsia="zh-CN"/>
                <w14:textFill>
                  <w14:solidFill>
                    <w14:schemeClr w14:val="tx1"/>
                  </w14:solidFill>
                </w14:textFill>
              </w:rPr>
              <w:t>5</w:t>
            </w:r>
            <w:r>
              <w:rPr>
                <w:rFonts w:hint="eastAsia" w:ascii="宋体" w:hAnsi="宋体" w:eastAsia="宋体" w:cs="宋体"/>
                <w:b/>
                <w:color w:val="000000" w:themeColor="text1"/>
                <w:sz w:val="28"/>
                <w:highlight w:val="none"/>
                <w14:textFill>
                  <w14:solidFill>
                    <w14:schemeClr w14:val="tx1"/>
                  </w14:solidFill>
                </w14:textFill>
              </w:rPr>
              <w:t>年</w:t>
            </w:r>
            <w:r>
              <w:rPr>
                <w:rFonts w:hint="eastAsia" w:ascii="宋体" w:hAnsi="宋体" w:eastAsia="宋体" w:cs="宋体"/>
                <w:b/>
                <w:color w:val="000000" w:themeColor="text1"/>
                <w:sz w:val="28"/>
                <w:highlight w:val="none"/>
                <w:u w:val="single"/>
                <w:lang w:val="en-US" w:eastAsia="zh-CN"/>
                <w14:textFill>
                  <w14:solidFill>
                    <w14:schemeClr w14:val="tx1"/>
                  </w14:solidFill>
                </w14:textFill>
              </w:rPr>
              <w:t>9</w:t>
            </w:r>
            <w:r>
              <w:rPr>
                <w:rFonts w:hint="eastAsia" w:ascii="宋体" w:hAnsi="宋体" w:eastAsia="宋体" w:cs="宋体"/>
                <w:b/>
                <w:color w:val="000000" w:themeColor="text1"/>
                <w:sz w:val="28"/>
                <w:highlight w:val="none"/>
                <w14:textFill>
                  <w14:solidFill>
                    <w14:schemeClr w14:val="tx1"/>
                  </w14:solidFill>
                </w14:textFill>
              </w:rPr>
              <w:t>月</w:t>
            </w:r>
          </w:p>
        </w:tc>
      </w:tr>
    </w:tbl>
    <w:p w14:paraId="0BEAFA39">
      <w:pPr>
        <w:spacing w:line="360" w:lineRule="exact"/>
        <w:ind w:left="-315" w:leftChars="-150" w:right="-315" w:rightChars="-150"/>
        <w:rPr>
          <w:rFonts w:hint="eastAsia" w:ascii="宋体" w:hAnsi="宋体" w:eastAsia="宋体" w:cs="宋体"/>
          <w:b/>
          <w:color w:val="000000" w:themeColor="text1"/>
          <w:sz w:val="44"/>
          <w:szCs w:val="44"/>
          <w:highlight w:val="none"/>
          <w14:textFill>
            <w14:solidFill>
              <w14:schemeClr w14:val="tx1"/>
            </w14:solidFill>
          </w14:textFill>
        </w:rPr>
        <w:sectPr>
          <w:headerReference r:id="rId3" w:type="default"/>
          <w:footerReference r:id="rId4" w:type="default"/>
          <w:pgSz w:w="11906" w:h="16838"/>
          <w:pgMar w:top="1304" w:right="1133" w:bottom="1304" w:left="1304" w:header="737" w:footer="850" w:gutter="0"/>
          <w:pgNumType w:fmt="decimal" w:start="0"/>
          <w:cols w:space="425" w:num="1"/>
          <w:titlePg/>
          <w:docGrid w:type="lines" w:linePitch="312" w:charSpace="0"/>
        </w:sectPr>
      </w:pPr>
    </w:p>
    <w:p w14:paraId="0E935D68">
      <w:pPr>
        <w:pStyle w:val="40"/>
        <w:jc w:val="center"/>
        <w:rPr>
          <w:rFonts w:hint="eastAsia" w:ascii="宋体" w:hAnsi="宋体" w:eastAsia="宋体" w:cs="宋体"/>
          <w:b/>
          <w:bCs/>
          <w:color w:val="000000" w:themeColor="text1"/>
          <w:sz w:val="44"/>
          <w:highlight w:val="none"/>
          <w:lang w:val="zh-CN"/>
          <w14:textFill>
            <w14:solidFill>
              <w14:schemeClr w14:val="tx1"/>
            </w14:solidFill>
          </w14:textFill>
        </w:rPr>
      </w:pPr>
      <w:r>
        <w:rPr>
          <w:rFonts w:hint="eastAsia" w:ascii="宋体" w:hAnsi="宋体" w:eastAsia="宋体" w:cs="宋体"/>
          <w:b/>
          <w:bCs/>
          <w:color w:val="000000" w:themeColor="text1"/>
          <w:sz w:val="44"/>
          <w:highlight w:val="none"/>
          <w:lang w:val="zh-CN"/>
          <w14:textFill>
            <w14:solidFill>
              <w14:schemeClr w14:val="tx1"/>
            </w14:solidFill>
          </w14:textFill>
        </w:rPr>
        <w:t>目  录</w:t>
      </w:r>
    </w:p>
    <w:p w14:paraId="1316B78E">
      <w:pPr>
        <w:rPr>
          <w:rFonts w:hint="eastAsia" w:ascii="宋体" w:hAnsi="宋体" w:eastAsia="宋体" w:cs="宋体"/>
          <w:color w:val="000000" w:themeColor="text1"/>
          <w:highlight w:val="none"/>
          <w:lang w:val="zh-CN"/>
          <w14:textFill>
            <w14:solidFill>
              <w14:schemeClr w14:val="tx1"/>
            </w14:solidFill>
          </w14:textFill>
        </w:rPr>
      </w:pPr>
    </w:p>
    <w:p w14:paraId="1B9CFAAC">
      <w:pPr>
        <w:pStyle w:val="19"/>
        <w:tabs>
          <w:tab w:val="right" w:leader="dot" w:pos="9469"/>
        </w:tabs>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fldChar w:fldCharType="begin"/>
      </w:r>
      <w:r>
        <w:rPr>
          <w:rFonts w:hint="eastAsia" w:ascii="宋体" w:hAnsi="宋体" w:eastAsia="宋体" w:cs="宋体"/>
          <w:color w:val="000000" w:themeColor="text1"/>
          <w:sz w:val="24"/>
          <w:highlight w:val="none"/>
          <w14:textFill>
            <w14:solidFill>
              <w14:schemeClr w14:val="tx1"/>
            </w14:solidFill>
          </w14:textFill>
        </w:rPr>
        <w:instrText xml:space="preserve"> TOC \o "1-4" \h \z \u </w:instrText>
      </w:r>
      <w:r>
        <w:rPr>
          <w:rFonts w:hint="eastAsia" w:ascii="宋体" w:hAnsi="宋体" w:eastAsia="宋体" w:cs="宋体"/>
          <w:color w:val="000000" w:themeColor="text1"/>
          <w:sz w:val="24"/>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HYPERLINK \l _Toc30103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第一章 招标公告</w:t>
      </w:r>
      <w:r>
        <w:rPr>
          <w:rFonts w:hint="eastAsia"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PAGEREF _Toc30103 \h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1</w:t>
      </w:r>
      <w:r>
        <w:rPr>
          <w:rFonts w:hint="eastAsia" w:ascii="宋体" w:hAnsi="宋体" w:eastAsia="宋体" w:cs="宋体"/>
          <w:color w:val="000000" w:themeColor="text1"/>
          <w:sz w:val="28"/>
          <w:szCs w:val="28"/>
          <w:highlight w:val="none"/>
          <w14:textFill>
            <w14:solidFill>
              <w14:schemeClr w14:val="tx1"/>
            </w14:solidFill>
          </w14:textFill>
        </w:rPr>
        <w:fldChar w:fldCharType="end"/>
      </w:r>
      <w:r>
        <w:rPr>
          <w:rFonts w:hint="eastAsia" w:ascii="宋体" w:hAnsi="宋体" w:eastAsia="宋体" w:cs="宋体"/>
          <w:color w:val="000000" w:themeColor="text1"/>
          <w:sz w:val="28"/>
          <w:szCs w:val="28"/>
          <w:highlight w:val="none"/>
          <w14:textFill>
            <w14:solidFill>
              <w14:schemeClr w14:val="tx1"/>
            </w14:solidFill>
          </w14:textFill>
        </w:rPr>
        <w:fldChar w:fldCharType="end"/>
      </w:r>
    </w:p>
    <w:p w14:paraId="7AF54892">
      <w:pPr>
        <w:pStyle w:val="11"/>
        <w:tabs>
          <w:tab w:val="right" w:leader="dot" w:pos="9469"/>
        </w:tabs>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HYPERLINK \l _Toc16558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第二章 投标人须知</w:t>
      </w:r>
      <w:r>
        <w:rPr>
          <w:rFonts w:hint="eastAsia"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PAGEREF _Toc16558 \h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3</w:t>
      </w:r>
      <w:r>
        <w:rPr>
          <w:rFonts w:hint="eastAsia" w:ascii="宋体" w:hAnsi="宋体" w:eastAsia="宋体" w:cs="宋体"/>
          <w:color w:val="000000" w:themeColor="text1"/>
          <w:sz w:val="28"/>
          <w:szCs w:val="28"/>
          <w:highlight w:val="none"/>
          <w14:textFill>
            <w14:solidFill>
              <w14:schemeClr w14:val="tx1"/>
            </w14:solidFill>
          </w14:textFill>
        </w:rPr>
        <w:fldChar w:fldCharType="end"/>
      </w:r>
      <w:r>
        <w:rPr>
          <w:rFonts w:hint="eastAsia" w:ascii="宋体" w:hAnsi="宋体" w:eastAsia="宋体" w:cs="宋体"/>
          <w:color w:val="000000" w:themeColor="text1"/>
          <w:sz w:val="28"/>
          <w:szCs w:val="28"/>
          <w:highlight w:val="none"/>
          <w14:textFill>
            <w14:solidFill>
              <w14:schemeClr w14:val="tx1"/>
            </w14:solidFill>
          </w14:textFill>
        </w:rPr>
        <w:fldChar w:fldCharType="end"/>
      </w:r>
    </w:p>
    <w:p w14:paraId="721B1A1F">
      <w:pPr>
        <w:pStyle w:val="19"/>
        <w:tabs>
          <w:tab w:val="right" w:leader="dot" w:pos="9469"/>
        </w:tabs>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HYPERLINK \l _Toc2618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第三章 评标办法（综合评估法）</w:t>
      </w:r>
      <w:r>
        <w:rPr>
          <w:rFonts w:hint="eastAsia"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PAGEREF _Toc2618 \h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13</w:t>
      </w:r>
      <w:r>
        <w:rPr>
          <w:rFonts w:hint="eastAsia" w:ascii="宋体" w:hAnsi="宋体" w:eastAsia="宋体" w:cs="宋体"/>
          <w:color w:val="000000" w:themeColor="text1"/>
          <w:sz w:val="28"/>
          <w:szCs w:val="28"/>
          <w:highlight w:val="none"/>
          <w14:textFill>
            <w14:solidFill>
              <w14:schemeClr w14:val="tx1"/>
            </w14:solidFill>
          </w14:textFill>
        </w:rPr>
        <w:fldChar w:fldCharType="end"/>
      </w:r>
      <w:r>
        <w:rPr>
          <w:rFonts w:hint="eastAsia" w:ascii="宋体" w:hAnsi="宋体" w:eastAsia="宋体" w:cs="宋体"/>
          <w:color w:val="000000" w:themeColor="text1"/>
          <w:sz w:val="28"/>
          <w:szCs w:val="28"/>
          <w:highlight w:val="none"/>
          <w14:textFill>
            <w14:solidFill>
              <w14:schemeClr w14:val="tx1"/>
            </w14:solidFill>
          </w14:textFill>
        </w:rPr>
        <w:fldChar w:fldCharType="end"/>
      </w:r>
    </w:p>
    <w:p w14:paraId="523AA570">
      <w:pPr>
        <w:pStyle w:val="19"/>
        <w:tabs>
          <w:tab w:val="right" w:leader="dot" w:pos="9469"/>
        </w:tabs>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HYPERLINK \l _Toc3990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第四章 合同条款及格式</w:t>
      </w:r>
      <w:r>
        <w:rPr>
          <w:rFonts w:hint="eastAsia"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PAGEREF _Toc3990 \h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16</w:t>
      </w:r>
      <w:r>
        <w:rPr>
          <w:rFonts w:hint="eastAsia" w:ascii="宋体" w:hAnsi="宋体" w:eastAsia="宋体" w:cs="宋体"/>
          <w:color w:val="000000" w:themeColor="text1"/>
          <w:sz w:val="28"/>
          <w:szCs w:val="28"/>
          <w:highlight w:val="none"/>
          <w14:textFill>
            <w14:solidFill>
              <w14:schemeClr w14:val="tx1"/>
            </w14:solidFill>
          </w14:textFill>
        </w:rPr>
        <w:fldChar w:fldCharType="end"/>
      </w:r>
      <w:r>
        <w:rPr>
          <w:rFonts w:hint="eastAsia" w:ascii="宋体" w:hAnsi="宋体" w:eastAsia="宋体" w:cs="宋体"/>
          <w:color w:val="000000" w:themeColor="text1"/>
          <w:sz w:val="28"/>
          <w:szCs w:val="28"/>
          <w:highlight w:val="none"/>
          <w14:textFill>
            <w14:solidFill>
              <w14:schemeClr w14:val="tx1"/>
            </w14:solidFill>
          </w14:textFill>
        </w:rPr>
        <w:fldChar w:fldCharType="end"/>
      </w:r>
    </w:p>
    <w:p w14:paraId="5A43455F">
      <w:pPr>
        <w:pStyle w:val="11"/>
        <w:tabs>
          <w:tab w:val="right" w:leader="dot" w:pos="9469"/>
        </w:tabs>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HYPERLINK \l _Toc24411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bCs w:val="0"/>
          <w:color w:val="000000" w:themeColor="text1"/>
          <w:sz w:val="28"/>
          <w:szCs w:val="28"/>
          <w:highlight w:val="none"/>
          <w14:textFill>
            <w14:solidFill>
              <w14:schemeClr w14:val="tx1"/>
            </w14:solidFill>
          </w14:textFill>
        </w:rPr>
        <w:t>第</w:t>
      </w:r>
      <w:r>
        <w:rPr>
          <w:rFonts w:hint="eastAsia" w:ascii="宋体" w:hAnsi="宋体" w:eastAsia="宋体" w:cs="宋体"/>
          <w:bCs w:val="0"/>
          <w:color w:val="000000" w:themeColor="text1"/>
          <w:sz w:val="28"/>
          <w:szCs w:val="28"/>
          <w:highlight w:val="none"/>
          <w:lang w:eastAsia="zh-CN"/>
          <w14:textFill>
            <w14:solidFill>
              <w14:schemeClr w14:val="tx1"/>
            </w14:solidFill>
          </w14:textFill>
        </w:rPr>
        <w:t>五</w:t>
      </w:r>
      <w:r>
        <w:rPr>
          <w:rFonts w:hint="eastAsia" w:ascii="宋体" w:hAnsi="宋体" w:eastAsia="宋体" w:cs="宋体"/>
          <w:bCs w:val="0"/>
          <w:color w:val="000000" w:themeColor="text1"/>
          <w:sz w:val="28"/>
          <w:szCs w:val="28"/>
          <w:highlight w:val="none"/>
          <w14:textFill>
            <w14:solidFill>
              <w14:schemeClr w14:val="tx1"/>
            </w14:solidFill>
          </w14:textFill>
        </w:rPr>
        <w:t>章 投标文件格式</w:t>
      </w:r>
      <w:r>
        <w:rPr>
          <w:rFonts w:hint="eastAsia" w:ascii="宋体" w:hAnsi="宋体" w:eastAsia="宋体" w:cs="宋体"/>
          <w:color w:val="000000" w:themeColor="text1"/>
          <w:sz w:val="28"/>
          <w:szCs w:val="28"/>
          <w:highlight w:val="none"/>
          <w14:textFill>
            <w14:solidFill>
              <w14:schemeClr w14:val="tx1"/>
            </w14:solidFill>
          </w14:textFill>
        </w:rPr>
        <w:tab/>
      </w:r>
      <w:r>
        <w:rPr>
          <w:rFonts w:hint="eastAsia" w:ascii="宋体" w:hAnsi="宋体" w:eastAsia="宋体" w:cs="宋体"/>
          <w:color w:val="000000" w:themeColor="text1"/>
          <w:sz w:val="28"/>
          <w:szCs w:val="28"/>
          <w:highlight w:val="none"/>
          <w14:textFill>
            <w14:solidFill>
              <w14:schemeClr w14:val="tx1"/>
            </w14:solidFill>
          </w14:textFill>
        </w:rPr>
        <w:fldChar w:fldCharType="begin"/>
      </w:r>
      <w:r>
        <w:rPr>
          <w:rFonts w:hint="eastAsia" w:ascii="宋体" w:hAnsi="宋体" w:eastAsia="宋体" w:cs="宋体"/>
          <w:color w:val="000000" w:themeColor="text1"/>
          <w:sz w:val="28"/>
          <w:szCs w:val="28"/>
          <w:highlight w:val="none"/>
          <w14:textFill>
            <w14:solidFill>
              <w14:schemeClr w14:val="tx1"/>
            </w14:solidFill>
          </w14:textFill>
        </w:rPr>
        <w:instrText xml:space="preserve"> PAGEREF _Toc24411 \h </w:instrText>
      </w:r>
      <w:r>
        <w:rPr>
          <w:rFonts w:hint="eastAsia" w:ascii="宋体" w:hAnsi="宋体" w:eastAsia="宋体" w:cs="宋体"/>
          <w:color w:val="000000" w:themeColor="text1"/>
          <w:sz w:val="28"/>
          <w:szCs w:val="28"/>
          <w:highlight w:val="none"/>
          <w14:textFill>
            <w14:solidFill>
              <w14:schemeClr w14:val="tx1"/>
            </w14:solidFill>
          </w14:textFill>
        </w:rPr>
        <w:fldChar w:fldCharType="separate"/>
      </w: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cs="宋体"/>
          <w:color w:val="000000" w:themeColor="text1"/>
          <w:sz w:val="28"/>
          <w:szCs w:val="28"/>
          <w:highlight w:val="none"/>
          <w:lang w:val="en-US" w:eastAsia="zh-CN"/>
          <w14:textFill>
            <w14:solidFill>
              <w14:schemeClr w14:val="tx1"/>
            </w14:solidFill>
          </w14:textFill>
        </w:rPr>
        <w:t>8</w:t>
      </w:r>
      <w:r>
        <w:rPr>
          <w:rFonts w:hint="eastAsia" w:ascii="宋体" w:hAnsi="宋体" w:eastAsia="宋体" w:cs="宋体"/>
          <w:color w:val="000000" w:themeColor="text1"/>
          <w:sz w:val="28"/>
          <w:szCs w:val="28"/>
          <w:highlight w:val="none"/>
          <w14:textFill>
            <w14:solidFill>
              <w14:schemeClr w14:val="tx1"/>
            </w14:solidFill>
          </w14:textFill>
        </w:rPr>
        <w:fldChar w:fldCharType="end"/>
      </w:r>
      <w:r>
        <w:rPr>
          <w:rFonts w:hint="eastAsia" w:ascii="宋体" w:hAnsi="宋体" w:eastAsia="宋体" w:cs="宋体"/>
          <w:color w:val="000000" w:themeColor="text1"/>
          <w:sz w:val="28"/>
          <w:szCs w:val="28"/>
          <w:highlight w:val="none"/>
          <w14:textFill>
            <w14:solidFill>
              <w14:schemeClr w14:val="tx1"/>
            </w14:solidFill>
          </w14:textFill>
        </w:rPr>
        <w:fldChar w:fldCharType="end"/>
      </w:r>
      <w:bookmarkStart w:id="321" w:name="_GoBack"/>
      <w:bookmarkEnd w:id="321"/>
    </w:p>
    <w:p w14:paraId="4362EA64">
      <w:pPr>
        <w:spacing w:line="660" w:lineRule="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fldChar w:fldCharType="end"/>
      </w:r>
    </w:p>
    <w:p w14:paraId="15BF426D">
      <w:pPr>
        <w:spacing w:line="600" w:lineRule="auto"/>
        <w:rPr>
          <w:rFonts w:hint="eastAsia" w:ascii="宋体" w:hAnsi="宋体" w:eastAsia="宋体" w:cs="宋体"/>
          <w:b/>
          <w:color w:val="000000" w:themeColor="text1"/>
          <w:highlight w:val="none"/>
          <w14:textFill>
            <w14:solidFill>
              <w14:schemeClr w14:val="tx1"/>
            </w14:solidFill>
          </w14:textFill>
        </w:rPr>
      </w:pPr>
    </w:p>
    <w:p w14:paraId="4D6BC10B">
      <w:pPr>
        <w:spacing w:line="600" w:lineRule="auto"/>
        <w:rPr>
          <w:rFonts w:hint="eastAsia" w:ascii="宋体" w:hAnsi="宋体" w:eastAsia="宋体" w:cs="宋体"/>
          <w:b/>
          <w:color w:val="000000" w:themeColor="text1"/>
          <w:highlight w:val="none"/>
          <w14:textFill>
            <w14:solidFill>
              <w14:schemeClr w14:val="tx1"/>
            </w14:solidFill>
          </w14:textFill>
        </w:rPr>
      </w:pPr>
    </w:p>
    <w:p w14:paraId="26DD69B8">
      <w:pPr>
        <w:spacing w:line="600" w:lineRule="auto"/>
        <w:rPr>
          <w:rFonts w:hint="eastAsia" w:ascii="宋体" w:hAnsi="宋体" w:eastAsia="宋体" w:cs="宋体"/>
          <w:b/>
          <w:color w:val="000000" w:themeColor="text1"/>
          <w:highlight w:val="none"/>
          <w14:textFill>
            <w14:solidFill>
              <w14:schemeClr w14:val="tx1"/>
            </w14:solidFill>
          </w14:textFill>
        </w:rPr>
      </w:pPr>
    </w:p>
    <w:p w14:paraId="1BC63420">
      <w:pPr>
        <w:spacing w:line="600" w:lineRule="auto"/>
        <w:rPr>
          <w:rFonts w:hint="eastAsia" w:ascii="宋体" w:hAnsi="宋体" w:eastAsia="宋体" w:cs="宋体"/>
          <w:b/>
          <w:color w:val="000000" w:themeColor="text1"/>
          <w:highlight w:val="none"/>
          <w14:textFill>
            <w14:solidFill>
              <w14:schemeClr w14:val="tx1"/>
            </w14:solidFill>
          </w14:textFill>
        </w:rPr>
      </w:pPr>
    </w:p>
    <w:p w14:paraId="30E8CBCB">
      <w:pPr>
        <w:rPr>
          <w:rFonts w:hint="eastAsia" w:ascii="宋体" w:hAnsi="宋体" w:eastAsia="宋体" w:cs="宋体"/>
          <w:color w:val="000000" w:themeColor="text1"/>
          <w:highlight w:val="none"/>
          <w14:textFill>
            <w14:solidFill>
              <w14:schemeClr w14:val="tx1"/>
            </w14:solidFill>
          </w14:textFill>
        </w:rPr>
      </w:pPr>
    </w:p>
    <w:p w14:paraId="61AFD8D9">
      <w:pPr>
        <w:bidi w:val="0"/>
        <w:rPr>
          <w:rFonts w:hint="eastAsia" w:ascii="宋体" w:hAnsi="宋体" w:eastAsia="宋体" w:cs="宋体"/>
          <w:color w:val="000000" w:themeColor="text1"/>
          <w:highlight w:val="none"/>
          <w14:textFill>
            <w14:solidFill>
              <w14:schemeClr w14:val="tx1"/>
            </w14:solidFill>
          </w14:textFill>
        </w:rPr>
      </w:pPr>
    </w:p>
    <w:p w14:paraId="3C574D1F">
      <w:pPr>
        <w:bidi w:val="0"/>
        <w:rPr>
          <w:rFonts w:hint="eastAsia" w:ascii="宋体" w:hAnsi="宋体" w:eastAsia="宋体" w:cs="宋体"/>
          <w:color w:val="000000" w:themeColor="text1"/>
          <w:highlight w:val="none"/>
          <w14:textFill>
            <w14:solidFill>
              <w14:schemeClr w14:val="tx1"/>
            </w14:solidFill>
          </w14:textFill>
        </w:rPr>
      </w:pPr>
    </w:p>
    <w:p w14:paraId="4210E968">
      <w:pPr>
        <w:bidi w:val="0"/>
        <w:rPr>
          <w:rFonts w:hint="eastAsia" w:ascii="宋体" w:hAnsi="宋体" w:eastAsia="宋体" w:cs="宋体"/>
          <w:color w:val="000000" w:themeColor="text1"/>
          <w:highlight w:val="none"/>
          <w14:textFill>
            <w14:solidFill>
              <w14:schemeClr w14:val="tx1"/>
            </w14:solidFill>
          </w14:textFill>
        </w:rPr>
      </w:pPr>
    </w:p>
    <w:p w14:paraId="655B0772">
      <w:pPr>
        <w:bidi w:val="0"/>
        <w:rPr>
          <w:rFonts w:hint="eastAsia" w:ascii="宋体" w:hAnsi="宋体" w:eastAsia="宋体" w:cs="宋体"/>
          <w:color w:val="000000" w:themeColor="text1"/>
          <w:highlight w:val="none"/>
          <w14:textFill>
            <w14:solidFill>
              <w14:schemeClr w14:val="tx1"/>
            </w14:solidFill>
          </w14:textFill>
        </w:rPr>
      </w:pPr>
    </w:p>
    <w:p w14:paraId="1C73607F">
      <w:pPr>
        <w:bidi w:val="0"/>
        <w:rPr>
          <w:rFonts w:hint="eastAsia" w:ascii="宋体" w:hAnsi="宋体" w:eastAsia="宋体" w:cs="宋体"/>
          <w:color w:val="000000" w:themeColor="text1"/>
          <w:highlight w:val="none"/>
          <w:lang w:eastAsia="zh-CN"/>
          <w14:textFill>
            <w14:solidFill>
              <w14:schemeClr w14:val="tx1"/>
            </w14:solidFill>
          </w14:textFill>
        </w:rPr>
        <w:sectPr>
          <w:footerReference r:id="rId6" w:type="first"/>
          <w:footerReference r:id="rId5" w:type="default"/>
          <w:pgSz w:w="11906" w:h="16838"/>
          <w:pgMar w:top="1304" w:right="1133" w:bottom="1304" w:left="1304" w:header="737" w:footer="850" w:gutter="0"/>
          <w:pgNumType w:fmt="decimal" w:start="1"/>
          <w:cols w:space="425" w:num="1"/>
          <w:docGrid w:type="lines" w:linePitch="312" w:charSpace="0"/>
        </w:sectPr>
      </w:pPr>
      <w:r>
        <w:rPr>
          <w:rFonts w:hint="eastAsia" w:ascii="宋体" w:hAnsi="宋体" w:eastAsia="宋体" w:cs="宋体"/>
          <w:color w:val="000000" w:themeColor="text1"/>
          <w:highlight w:val="none"/>
          <w:lang w:eastAsia="zh-CN"/>
          <w14:textFill>
            <w14:solidFill>
              <w14:schemeClr w14:val="tx1"/>
            </w14:solidFill>
          </w14:textFill>
        </w:rPr>
        <w:tab/>
      </w:r>
    </w:p>
    <w:p w14:paraId="515C67C9">
      <w:pPr>
        <w:pStyle w:val="3"/>
        <w:jc w:val="center"/>
        <w:rPr>
          <w:rFonts w:hint="eastAsia" w:ascii="宋体" w:hAnsi="宋体" w:eastAsia="宋体" w:cs="宋体"/>
          <w:color w:val="000000" w:themeColor="text1"/>
          <w:highlight w:val="none"/>
          <w14:textFill>
            <w14:solidFill>
              <w14:schemeClr w14:val="tx1"/>
            </w14:solidFill>
          </w14:textFill>
        </w:rPr>
      </w:pPr>
      <w:bookmarkStart w:id="0" w:name="_Toc30103"/>
      <w:r>
        <w:rPr>
          <w:rFonts w:hint="eastAsia" w:ascii="宋体" w:hAnsi="宋体" w:eastAsia="宋体" w:cs="宋体"/>
          <w:color w:val="000000" w:themeColor="text1"/>
          <w:highlight w:val="none"/>
          <w14:textFill>
            <w14:solidFill>
              <w14:schemeClr w14:val="tx1"/>
            </w14:solidFill>
          </w14:textFill>
        </w:rPr>
        <w:t>第一章  招标公告</w:t>
      </w:r>
      <w:bookmarkEnd w:id="0"/>
    </w:p>
    <w:p w14:paraId="2DEAC864">
      <w:pPr>
        <w:spacing w:line="450" w:lineRule="exact"/>
        <w:jc w:val="center"/>
        <w:rPr>
          <w:rFonts w:hint="eastAsia" w:ascii="宋体" w:hAnsi="宋体" w:eastAsia="宋体" w:cs="宋体"/>
          <w:color w:val="000000" w:themeColor="text1"/>
          <w:sz w:val="22"/>
          <w:szCs w:val="22"/>
          <w:highlight w:val="none"/>
          <w:lang w:val="en-US"/>
          <w14:textFill>
            <w14:solidFill>
              <w14:schemeClr w14:val="tx1"/>
            </w14:solidFill>
          </w14:textFill>
        </w:rPr>
      </w:pPr>
      <w:bookmarkStart w:id="1" w:name="_Toc4382"/>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招标编号：</w:t>
      </w:r>
      <w:bookmarkEnd w:id="1"/>
      <w:r>
        <w:rPr>
          <w:rFonts w:hint="eastAsia" w:ascii="宋体" w:hAnsi="宋体" w:eastAsia="宋体" w:cs="宋体"/>
          <w:color w:val="000000" w:themeColor="text1"/>
          <w:sz w:val="22"/>
          <w:szCs w:val="22"/>
          <w:highlight w:val="none"/>
          <w:lang w:eastAsia="zh-CN"/>
          <w14:textFill>
            <w14:solidFill>
              <w14:schemeClr w14:val="tx1"/>
            </w14:solidFill>
          </w14:textFill>
        </w:rPr>
        <w:t>HZGSCG2025-041</w:t>
      </w:r>
    </w:p>
    <w:p w14:paraId="260DA20C">
      <w:pPr>
        <w:adjustRightInd w:val="0"/>
        <w:spacing w:line="440" w:lineRule="exact"/>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1.招标条件</w:t>
      </w:r>
    </w:p>
    <w:p w14:paraId="410671CC">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eastAsia="zh-CN"/>
          <w14:textFill>
            <w14:solidFill>
              <w14:schemeClr w14:val="tx1"/>
            </w14:solidFill>
          </w14:textFill>
        </w:rPr>
      </w:pPr>
      <w:r>
        <w:rPr>
          <w:rFonts w:hint="eastAsia" w:ascii="宋体" w:hAnsi="宋体" w:eastAsia="宋体" w:cs="宋体"/>
          <w:color w:val="000000" w:themeColor="text1"/>
          <w:kern w:val="2"/>
          <w:sz w:val="22"/>
          <w:szCs w:val="22"/>
          <w:highlight w:val="none"/>
          <w:lang w:eastAsia="zh-CN"/>
          <w14:textFill>
            <w14:solidFill>
              <w14:schemeClr w14:val="tx1"/>
            </w14:solidFill>
          </w14:textFill>
        </w:rPr>
        <w:t>为更好推进华水水业、农村供水发展有限公司内部项目建设，提高工作效率及项目建设质量，现将龙游华水水业、农村供水发展有限公司所负责维护、运营的给水管网零星改造、抢维修施工及零星修缮、临时用工、工艺设施维护等单项工程</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二</w:t>
      </w:r>
      <w:r>
        <w:rPr>
          <w:rFonts w:hint="eastAsia" w:ascii="宋体" w:hAnsi="宋体" w:eastAsia="宋体" w:cs="宋体"/>
          <w:color w:val="000000" w:themeColor="text1"/>
          <w:kern w:val="2"/>
          <w:sz w:val="22"/>
          <w:szCs w:val="22"/>
          <w:highlight w:val="none"/>
          <w:lang w:eastAsia="zh-CN"/>
          <w14:textFill>
            <w14:solidFill>
              <w14:schemeClr w14:val="tx1"/>
            </w14:solidFill>
          </w14:textFill>
        </w:rPr>
        <w:t>万元以内的工程将进行分片区劳务分包招标，现邀请已入围的施工班组</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参与</w:t>
      </w:r>
      <w:r>
        <w:rPr>
          <w:rFonts w:hint="eastAsia" w:ascii="宋体" w:hAnsi="宋体" w:eastAsia="宋体" w:cs="宋体"/>
          <w:color w:val="000000" w:themeColor="text1"/>
          <w:kern w:val="2"/>
          <w:sz w:val="22"/>
          <w:szCs w:val="22"/>
          <w:highlight w:val="none"/>
          <w:lang w:eastAsia="zh-CN"/>
          <w14:textFill>
            <w14:solidFill>
              <w14:schemeClr w14:val="tx1"/>
            </w14:solidFill>
          </w14:textFill>
        </w:rPr>
        <w:t>投标。</w:t>
      </w:r>
    </w:p>
    <w:p w14:paraId="6F72235A">
      <w:pPr>
        <w:adjustRightInd w:val="0"/>
        <w:spacing w:line="440" w:lineRule="exact"/>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2.项目概况与招标范围、内容</w:t>
      </w:r>
    </w:p>
    <w:p w14:paraId="3ADD70F4">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eastAsia="zh-CN"/>
          <w14:textFill>
            <w14:solidFill>
              <w14:schemeClr w14:val="tx1"/>
            </w14:solidFill>
          </w14:textFill>
        </w:rPr>
      </w:pPr>
      <w:r>
        <w:rPr>
          <w:rFonts w:hint="eastAsia" w:ascii="宋体" w:hAnsi="宋体" w:eastAsia="宋体" w:cs="宋体"/>
          <w:color w:val="000000" w:themeColor="text1"/>
          <w:kern w:val="2"/>
          <w:sz w:val="22"/>
          <w:szCs w:val="22"/>
          <w:highlight w:val="none"/>
          <w:lang w:eastAsia="zh-CN"/>
          <w14:textFill>
            <w14:solidFill>
              <w14:schemeClr w14:val="tx1"/>
            </w14:solidFill>
          </w14:textFill>
        </w:rPr>
        <w:t>现将龙游华水水业、农村供水发展有限公司所负责维护、运营的给水管网零星改造、抢维修施工及零星修缮、临时用工、工艺设施维护等单项工程</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二</w:t>
      </w:r>
      <w:r>
        <w:rPr>
          <w:rFonts w:hint="eastAsia" w:ascii="宋体" w:hAnsi="宋体" w:eastAsia="宋体" w:cs="宋体"/>
          <w:color w:val="000000" w:themeColor="text1"/>
          <w:kern w:val="2"/>
          <w:sz w:val="22"/>
          <w:szCs w:val="22"/>
          <w:highlight w:val="none"/>
          <w:lang w:eastAsia="zh-CN"/>
          <w14:textFill>
            <w14:solidFill>
              <w14:schemeClr w14:val="tx1"/>
            </w14:solidFill>
          </w14:textFill>
        </w:rPr>
        <w:t>万元以内的工程将进行分片区劳务分包招标。</w:t>
      </w:r>
    </w:p>
    <w:p w14:paraId="3D44EA31">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eastAsia="zh-CN"/>
          <w14:textFill>
            <w14:solidFill>
              <w14:schemeClr w14:val="tx1"/>
            </w14:solidFill>
          </w14:textFill>
        </w:rPr>
      </w:pPr>
      <w:r>
        <w:rPr>
          <w:rFonts w:hint="eastAsia" w:ascii="宋体" w:hAnsi="宋体" w:eastAsia="宋体" w:cs="宋体"/>
          <w:color w:val="000000" w:themeColor="text1"/>
          <w:kern w:val="2"/>
          <w:sz w:val="22"/>
          <w:szCs w:val="22"/>
          <w:highlight w:val="none"/>
          <w:lang w:eastAsia="zh-CN"/>
          <w14:textFill>
            <w14:solidFill>
              <w14:schemeClr w14:val="tx1"/>
            </w14:solidFill>
          </w14:textFill>
        </w:rPr>
        <w:t>一、华水水业公司划分区域</w:t>
      </w:r>
    </w:p>
    <w:p w14:paraId="7EE53214">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标段一：城区片：320国道以南、九里桥以东、灵山江以西；</w:t>
      </w:r>
    </w:p>
    <w:p w14:paraId="1D55C9B5">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标段二：城东片：灵山江以东、衢江以南（龙游城区供水范围内的）；</w:t>
      </w:r>
    </w:p>
    <w:p w14:paraId="7B785FC2">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标段三：城北片：衢江以北、城北经济开发区、兰塘、湖塘殿、王北斗、西</w:t>
      </w:r>
      <w:r>
        <w:rPr>
          <w:rFonts w:hint="eastAsia" w:ascii="宋体" w:hAnsi="宋体" w:cs="宋体"/>
          <w:color w:val="000000" w:themeColor="text1"/>
          <w:kern w:val="2"/>
          <w:sz w:val="22"/>
          <w:szCs w:val="22"/>
          <w:highlight w:val="none"/>
          <w:lang w:val="en-US" w:eastAsia="zh-CN"/>
          <w14:textFill>
            <w14:solidFill>
              <w14:schemeClr w14:val="tx1"/>
            </w14:solidFill>
          </w14:textFill>
        </w:rPr>
        <w:t>元</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、白马、大治、凤基坤、琚家、茶场新村、士元、虎龙、前江新村、联合新村（所包括的城北</w:t>
      </w:r>
      <w:r>
        <w:rPr>
          <w:rFonts w:hint="eastAsia" w:ascii="宋体" w:hAnsi="宋体" w:cs="宋体"/>
          <w:color w:val="000000" w:themeColor="text1"/>
          <w:kern w:val="2"/>
          <w:sz w:val="22"/>
          <w:szCs w:val="22"/>
          <w:highlight w:val="none"/>
          <w:lang w:val="en-US" w:eastAsia="zh-CN"/>
          <w14:textFill>
            <w14:solidFill>
              <w14:schemeClr w14:val="tx1"/>
            </w14:solidFill>
          </w14:textFill>
        </w:rPr>
        <w:t>收费</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区域）；</w:t>
      </w:r>
    </w:p>
    <w:p w14:paraId="403FB03B">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标段四：城西片：小南海镇区域、320国道以北、九里桥以西；</w:t>
      </w:r>
    </w:p>
    <w:p w14:paraId="354AA1B9">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二、农村供水公司划分区域</w:t>
      </w:r>
    </w:p>
    <w:p w14:paraId="78FFEDBC">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标段五：溪口片：溪口水厂收费范围内；</w:t>
      </w:r>
    </w:p>
    <w:p w14:paraId="2993ABC6">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标段六：塔石片：塔石水厂收费范围内；</w:t>
      </w:r>
    </w:p>
    <w:p w14:paraId="7D30A59C">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标段七；横山片区：横山水厂收费范围；</w:t>
      </w:r>
    </w:p>
    <w:p w14:paraId="6735FFC9">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标段八：湖镇片：湖镇水厂收费范围内；</w:t>
      </w:r>
    </w:p>
    <w:p w14:paraId="716719CD">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以上片区不包含城区供水区域。</w:t>
      </w:r>
    </w:p>
    <w:p w14:paraId="0528E035">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eastAsia="zh-CN"/>
          <w14:textFill>
            <w14:solidFill>
              <w14:schemeClr w14:val="tx1"/>
            </w14:solidFill>
          </w14:textFill>
        </w:rPr>
      </w:pPr>
      <w:r>
        <w:rPr>
          <w:rFonts w:hint="eastAsia" w:ascii="宋体" w:hAnsi="宋体" w:eastAsia="宋体" w:cs="宋体"/>
          <w:color w:val="000000" w:themeColor="text1"/>
          <w:kern w:val="2"/>
          <w:sz w:val="22"/>
          <w:szCs w:val="22"/>
          <w:highlight w:val="none"/>
          <w:lang w:eastAsia="zh-CN"/>
          <w14:textFill>
            <w14:solidFill>
              <w14:schemeClr w14:val="tx1"/>
            </w14:solidFill>
          </w14:textFill>
        </w:rPr>
        <w:t>（华水水业、农村供水公司提供主材包括管材、管材配件、水表、流量计、井盖、阀门等，其余均</w:t>
      </w:r>
      <w:r>
        <w:rPr>
          <w:rFonts w:hint="eastAsia" w:ascii="宋体" w:hAnsi="宋体" w:cs="宋体"/>
          <w:color w:val="000000" w:themeColor="text1"/>
          <w:kern w:val="2"/>
          <w:sz w:val="22"/>
          <w:szCs w:val="22"/>
          <w:highlight w:val="none"/>
          <w:lang w:val="en-US" w:eastAsia="zh-CN"/>
          <w14:textFill>
            <w14:solidFill>
              <w14:schemeClr w14:val="tx1"/>
            </w14:solidFill>
          </w14:textFill>
        </w:rPr>
        <w:t>由</w:t>
      </w:r>
      <w:r>
        <w:rPr>
          <w:rFonts w:hint="eastAsia" w:ascii="宋体" w:hAnsi="宋体" w:eastAsia="宋体" w:cs="宋体"/>
          <w:color w:val="000000" w:themeColor="text1"/>
          <w:kern w:val="2"/>
          <w:sz w:val="22"/>
          <w:szCs w:val="22"/>
          <w:highlight w:val="none"/>
          <w:lang w:eastAsia="zh-CN"/>
          <w14:textFill>
            <w14:solidFill>
              <w14:schemeClr w14:val="tx1"/>
            </w14:solidFill>
          </w14:textFill>
        </w:rPr>
        <w:t>施工班组自行采购）。</w:t>
      </w:r>
    </w:p>
    <w:p w14:paraId="308F2AC4">
      <w:pPr>
        <w:pStyle w:val="42"/>
        <w:spacing w:line="420" w:lineRule="exact"/>
        <w:ind w:firstLine="440" w:firstLineChars="200"/>
        <w:jc w:val="both"/>
        <w:rPr>
          <w:rFonts w:hint="eastAsia" w:ascii="宋体" w:hAnsi="宋体" w:eastAsia="宋体" w:cs="宋体"/>
          <w:color w:val="000000" w:themeColor="text1"/>
          <w:kern w:val="2"/>
          <w:sz w:val="22"/>
          <w:szCs w:val="22"/>
          <w:highlight w:val="none"/>
          <w:lang w:eastAsia="zh-CN"/>
          <w14:textFill>
            <w14:solidFill>
              <w14:schemeClr w14:val="tx1"/>
            </w14:solidFill>
          </w14:textFill>
        </w:rPr>
      </w:pPr>
      <w:r>
        <w:rPr>
          <w:rFonts w:hint="eastAsia" w:ascii="宋体" w:hAnsi="宋体" w:eastAsia="宋体" w:cs="宋体"/>
          <w:color w:val="000000" w:themeColor="text1"/>
          <w:kern w:val="2"/>
          <w:sz w:val="22"/>
          <w:szCs w:val="22"/>
          <w:highlight w:val="none"/>
          <w:lang w:eastAsia="zh-CN"/>
          <w14:textFill>
            <w14:solidFill>
              <w14:schemeClr w14:val="tx1"/>
            </w14:solidFill>
          </w14:textFill>
        </w:rPr>
        <w:t>投标人</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不能重复中标</w:t>
      </w:r>
      <w:r>
        <w:rPr>
          <w:rFonts w:hint="eastAsia" w:ascii="宋体" w:hAnsi="宋体" w:eastAsia="宋体" w:cs="宋体"/>
          <w:color w:val="000000" w:themeColor="text1"/>
          <w:kern w:val="2"/>
          <w:sz w:val="22"/>
          <w:szCs w:val="22"/>
          <w:highlight w:val="none"/>
          <w:lang w:eastAsia="zh-CN"/>
          <w14:textFill>
            <w14:solidFill>
              <w14:schemeClr w14:val="tx1"/>
            </w14:solidFill>
          </w14:textFill>
        </w:rPr>
        <w:t>，如已在其它片区是</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第一</w:t>
      </w:r>
      <w:r>
        <w:rPr>
          <w:rFonts w:hint="eastAsia" w:ascii="宋体" w:hAnsi="宋体" w:eastAsia="宋体" w:cs="宋体"/>
          <w:color w:val="000000" w:themeColor="text1"/>
          <w:kern w:val="2"/>
          <w:sz w:val="22"/>
          <w:szCs w:val="22"/>
          <w:highlight w:val="none"/>
          <w:lang w:eastAsia="zh-CN"/>
          <w14:textFill>
            <w14:solidFill>
              <w14:schemeClr w14:val="tx1"/>
            </w14:solidFill>
          </w14:textFill>
        </w:rPr>
        <w:t>中标候选人的，将自动退出后续片区的</w:t>
      </w:r>
      <w:r>
        <w:rPr>
          <w:rFonts w:hint="eastAsia" w:ascii="宋体" w:hAnsi="宋体" w:eastAsia="宋体" w:cs="宋体"/>
          <w:color w:val="000000" w:themeColor="text1"/>
          <w:kern w:val="2"/>
          <w:sz w:val="22"/>
          <w:szCs w:val="22"/>
          <w:highlight w:val="none"/>
          <w:lang w:val="en-US" w:eastAsia="zh-CN"/>
          <w14:textFill>
            <w14:solidFill>
              <w14:schemeClr w14:val="tx1"/>
            </w14:solidFill>
          </w14:textFill>
        </w:rPr>
        <w:t>评审</w:t>
      </w:r>
      <w:r>
        <w:rPr>
          <w:rFonts w:hint="eastAsia" w:ascii="宋体" w:hAnsi="宋体" w:eastAsia="宋体" w:cs="宋体"/>
          <w:color w:val="000000" w:themeColor="text1"/>
          <w:kern w:val="2"/>
          <w:sz w:val="22"/>
          <w:szCs w:val="22"/>
          <w:highlight w:val="none"/>
          <w:lang w:eastAsia="zh-CN"/>
          <w14:textFill>
            <w14:solidFill>
              <w14:schemeClr w14:val="tx1"/>
            </w14:solidFill>
          </w14:textFill>
        </w:rPr>
        <w:t>，以此类推。</w:t>
      </w:r>
    </w:p>
    <w:p w14:paraId="6D4C2ABE">
      <w:pPr>
        <w:pStyle w:val="42"/>
        <w:spacing w:line="42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r>
        <w:rPr>
          <w:rFonts w:hint="eastAsia" w:ascii="宋体" w:hAnsi="宋体" w:eastAsia="宋体" w:cs="宋体"/>
          <w:b/>
          <w:color w:val="000000" w:themeColor="text1"/>
          <w:kern w:val="2"/>
          <w:sz w:val="22"/>
          <w:szCs w:val="22"/>
          <w:highlight w:val="none"/>
          <w14:textFill>
            <w14:solidFill>
              <w14:schemeClr w14:val="tx1"/>
            </w14:solidFill>
          </w14:textFill>
        </w:rPr>
        <w:t>3.投标人资格条件要求</w:t>
      </w:r>
    </w:p>
    <w:p w14:paraId="6640B751">
      <w:pPr>
        <w:adjustRightInd w:val="0"/>
        <w:spacing w:line="420" w:lineRule="exact"/>
        <w:ind w:firstLine="440" w:firstLineChars="200"/>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3.1</w:t>
      </w:r>
      <w:r>
        <w:rPr>
          <w:rFonts w:hint="eastAsia" w:ascii="宋体" w:hAnsi="宋体" w:eastAsia="宋体" w:cs="宋体"/>
          <w:color w:val="000000" w:themeColor="text1"/>
          <w:sz w:val="22"/>
          <w:szCs w:val="22"/>
          <w:highlight w:val="none"/>
          <w:lang w:val="en-US" w:eastAsia="zh-CN"/>
          <w14:textFill>
            <w14:solidFill>
              <w14:schemeClr w14:val="tx1"/>
            </w14:solidFill>
          </w14:textFill>
        </w:rPr>
        <w:t>管道应急维修及零星作业班组入围招标中已入围的十家单位</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1FEAE04E">
      <w:pPr>
        <w:adjustRightInd w:val="0"/>
        <w:spacing w:line="420" w:lineRule="exact"/>
        <w:ind w:firstLine="440" w:firstLineChars="200"/>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3.2本项目在入围招标中已对各单位进行资格审查，十家入围单位均符合资格要求</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794D973E">
      <w:pPr>
        <w:pStyle w:val="42"/>
        <w:spacing w:line="42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r>
        <w:rPr>
          <w:rFonts w:hint="eastAsia" w:ascii="宋体" w:hAnsi="宋体" w:eastAsia="宋体" w:cs="宋体"/>
          <w:b/>
          <w:color w:val="000000" w:themeColor="text1"/>
          <w:kern w:val="2"/>
          <w:sz w:val="22"/>
          <w:szCs w:val="22"/>
          <w:highlight w:val="none"/>
          <w14:textFill>
            <w14:solidFill>
              <w14:schemeClr w14:val="tx1"/>
            </w14:solidFill>
          </w14:textFill>
        </w:rPr>
        <w:t>4.招标文件的获取</w:t>
      </w:r>
    </w:p>
    <w:p w14:paraId="51CEF48A">
      <w:pPr>
        <w:adjustRightInd w:val="0"/>
        <w:spacing w:line="42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4.1</w:t>
      </w:r>
      <w:r>
        <w:rPr>
          <w:rFonts w:hint="eastAsia" w:ascii="宋体" w:hAnsi="宋体" w:eastAsia="宋体" w:cs="宋体"/>
          <w:color w:val="000000" w:themeColor="text1"/>
          <w:sz w:val="22"/>
          <w:szCs w:val="22"/>
          <w:highlight w:val="none"/>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申请人在</w:t>
      </w:r>
      <w:r>
        <w:rPr>
          <w:rFonts w:hint="eastAsia" w:ascii="宋体" w:hAnsi="宋体" w:eastAsia="宋体" w:cs="宋体"/>
          <w:color w:val="000000" w:themeColor="text1"/>
          <w:sz w:val="22"/>
          <w:szCs w:val="22"/>
          <w:highlight w:val="none"/>
          <w:lang w:val="en-US" w:eastAsia="zh-CN"/>
          <w14:textFill>
            <w14:solidFill>
              <w14:schemeClr w14:val="tx1"/>
            </w14:solidFill>
          </w14:textFill>
        </w:rPr>
        <w:t>龙游县水务集团网站（http://www.lyswjt.com/）本项目公告</w:t>
      </w:r>
      <w:r>
        <w:rPr>
          <w:rFonts w:hint="eastAsia" w:ascii="宋体" w:hAnsi="宋体" w:eastAsia="宋体" w:cs="宋体"/>
          <w:color w:val="000000" w:themeColor="text1"/>
          <w:sz w:val="22"/>
          <w:szCs w:val="22"/>
          <w:highlight w:val="none"/>
          <w14:textFill>
            <w14:solidFill>
              <w14:schemeClr w14:val="tx1"/>
            </w14:solidFill>
          </w14:textFill>
        </w:rPr>
        <w:t>附件处自行下载。</w:t>
      </w:r>
    </w:p>
    <w:p w14:paraId="75483737">
      <w:pPr>
        <w:pStyle w:val="42"/>
        <w:spacing w:line="42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r>
        <w:rPr>
          <w:rFonts w:hint="eastAsia" w:ascii="宋体" w:hAnsi="宋体" w:eastAsia="宋体" w:cs="宋体"/>
          <w:b/>
          <w:color w:val="000000" w:themeColor="text1"/>
          <w:kern w:val="2"/>
          <w:sz w:val="22"/>
          <w:szCs w:val="22"/>
          <w:highlight w:val="none"/>
          <w14:textFill>
            <w14:solidFill>
              <w14:schemeClr w14:val="tx1"/>
            </w14:solidFill>
          </w14:textFill>
        </w:rPr>
        <w:t>5.投标保证金</w:t>
      </w:r>
    </w:p>
    <w:p w14:paraId="2C8AD5DB">
      <w:pPr>
        <w:adjustRightInd w:val="0"/>
        <w:spacing w:line="42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无需缴纳</w:t>
      </w:r>
      <w:r>
        <w:rPr>
          <w:rFonts w:hint="eastAsia" w:ascii="宋体" w:hAnsi="宋体" w:eastAsia="宋体" w:cs="宋体"/>
          <w:color w:val="000000" w:themeColor="text1"/>
          <w:sz w:val="22"/>
          <w:szCs w:val="22"/>
          <w:highlight w:val="none"/>
          <w14:textFill>
            <w14:solidFill>
              <w14:schemeClr w14:val="tx1"/>
            </w14:solidFill>
          </w14:textFill>
        </w:rPr>
        <w:t>。</w:t>
      </w:r>
    </w:p>
    <w:p w14:paraId="22655843">
      <w:pPr>
        <w:pStyle w:val="42"/>
        <w:spacing w:line="42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r>
        <w:rPr>
          <w:rFonts w:hint="eastAsia" w:ascii="宋体" w:hAnsi="宋体" w:eastAsia="宋体" w:cs="宋体"/>
          <w:b/>
          <w:color w:val="000000" w:themeColor="text1"/>
          <w:kern w:val="2"/>
          <w:sz w:val="22"/>
          <w:szCs w:val="22"/>
          <w:highlight w:val="none"/>
          <w14:textFill>
            <w14:solidFill>
              <w14:schemeClr w14:val="tx1"/>
            </w14:solidFill>
          </w14:textFill>
        </w:rPr>
        <w:t>6.投标文件的递交</w:t>
      </w:r>
    </w:p>
    <w:p w14:paraId="76E76AC3">
      <w:pPr>
        <w:keepNext w:val="0"/>
        <w:keepLines w:val="0"/>
        <w:pageBreakBefore w:val="0"/>
        <w:widowControl w:val="0"/>
        <w:kinsoku/>
        <w:wordWrap/>
        <w:overflowPunct/>
        <w:topLinePunct w:val="0"/>
        <w:autoSpaceDE w:val="0"/>
        <w:autoSpaceDN w:val="0"/>
        <w:bidi w:val="0"/>
        <w:adjustRightInd/>
        <w:snapToGrid/>
        <w:spacing w:line="420" w:lineRule="exact"/>
        <w:ind w:left="0" w:leftChars="0"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本项目为纸质开标。</w:t>
      </w:r>
      <w:r>
        <w:rPr>
          <w:rFonts w:hint="eastAsia" w:ascii="宋体" w:hAnsi="宋体" w:eastAsia="宋体" w:cs="宋体"/>
          <w:color w:val="000000" w:themeColor="text1"/>
          <w:sz w:val="22"/>
          <w:szCs w:val="22"/>
          <w:highlight w:val="none"/>
          <w14:textFill>
            <w14:solidFill>
              <w14:schemeClr w14:val="tx1"/>
            </w14:solidFill>
          </w14:textFill>
        </w:rPr>
        <w:t>投标文件递交的截止时间</w:t>
      </w:r>
      <w:r>
        <w:rPr>
          <w:rFonts w:hint="eastAsia" w:ascii="宋体" w:hAnsi="宋体" w:eastAsia="宋体" w:cs="宋体"/>
          <w:bCs/>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投标截止时间，下同</w:t>
      </w:r>
      <w:r>
        <w:rPr>
          <w:rFonts w:hint="eastAsia" w:ascii="宋体" w:hAnsi="宋体" w:eastAsia="宋体" w:cs="宋体"/>
          <w:bCs/>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：202</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24</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09</w:t>
      </w:r>
      <w:r>
        <w:rPr>
          <w:rFonts w:hint="eastAsia" w:ascii="宋体" w:hAnsi="宋体" w:eastAsia="宋体" w:cs="宋体"/>
          <w:color w:val="000000" w:themeColor="text1"/>
          <w:sz w:val="22"/>
          <w:szCs w:val="22"/>
          <w:highlight w:val="none"/>
          <w14:textFill>
            <w14:solidFill>
              <w14:schemeClr w14:val="tx1"/>
            </w14:solidFill>
          </w14:textFill>
        </w:rPr>
        <w:t>时</w:t>
      </w:r>
      <w:r>
        <w:rPr>
          <w:rFonts w:hint="eastAsia" w:ascii="宋体" w:hAnsi="宋体" w:cs="宋体"/>
          <w:color w:val="000000" w:themeColor="text1"/>
          <w:sz w:val="22"/>
          <w:szCs w:val="22"/>
          <w:highlight w:val="none"/>
          <w:lang w:val="en-US" w:eastAsia="zh-CN"/>
          <w14:textFill>
            <w14:solidFill>
              <w14:schemeClr w14:val="tx1"/>
            </w14:solidFill>
          </w14:textFill>
        </w:rPr>
        <w:t>30</w:t>
      </w:r>
      <w:r>
        <w:rPr>
          <w:rFonts w:hint="eastAsia" w:ascii="宋体" w:hAnsi="宋体" w:eastAsia="宋体" w:cs="宋体"/>
          <w:color w:val="000000" w:themeColor="text1"/>
          <w:sz w:val="22"/>
          <w:szCs w:val="22"/>
          <w:highlight w:val="none"/>
          <w14:textFill>
            <w14:solidFill>
              <w14:schemeClr w14:val="tx1"/>
            </w14:solidFill>
          </w14:textFill>
        </w:rPr>
        <w:t>分整；地点：</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龙游县水务集团有限公司一楼开标室</w:t>
      </w:r>
      <w:r>
        <w:rPr>
          <w:rFonts w:hint="eastAsia" w:ascii="宋体" w:hAnsi="宋体" w:eastAsia="宋体" w:cs="宋体"/>
          <w:color w:val="000000" w:themeColor="text1"/>
          <w:sz w:val="22"/>
          <w:szCs w:val="22"/>
          <w:highlight w:val="none"/>
          <w14:textFill>
            <w14:solidFill>
              <w14:schemeClr w14:val="tx1"/>
            </w14:solidFill>
          </w14:textFill>
        </w:rPr>
        <w:t>（龙游县</w:t>
      </w:r>
      <w:r>
        <w:rPr>
          <w:rFonts w:hint="eastAsia" w:ascii="宋体" w:hAnsi="宋体" w:eastAsia="宋体" w:cs="宋体"/>
          <w:color w:val="000000" w:themeColor="text1"/>
          <w:sz w:val="22"/>
          <w:szCs w:val="22"/>
          <w:highlight w:val="none"/>
          <w:lang w:val="en-US" w:eastAsia="zh-CN"/>
          <w14:textFill>
            <w14:solidFill>
              <w14:schemeClr w14:val="tx1"/>
            </w14:solidFill>
          </w14:textFill>
        </w:rPr>
        <w:t>荣昌东路35号</w:t>
      </w:r>
      <w:r>
        <w:rPr>
          <w:rFonts w:hint="eastAsia" w:ascii="宋体" w:hAnsi="宋体" w:eastAsia="宋体" w:cs="宋体"/>
          <w:color w:val="000000" w:themeColor="text1"/>
          <w:sz w:val="22"/>
          <w:szCs w:val="22"/>
          <w:highlight w:val="none"/>
          <w14:textFill>
            <w14:solidFill>
              <w14:schemeClr w14:val="tx1"/>
            </w14:solidFill>
          </w14:textFill>
        </w:rPr>
        <w:t>），逾期送达的或者未送达指定地点的投标文件，招标人不予受理。</w:t>
      </w:r>
    </w:p>
    <w:p w14:paraId="77F81A4F">
      <w:pPr>
        <w:pStyle w:val="42"/>
        <w:spacing w:line="42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r>
        <w:rPr>
          <w:rFonts w:hint="eastAsia" w:ascii="宋体" w:hAnsi="宋体" w:eastAsia="宋体" w:cs="宋体"/>
          <w:b/>
          <w:color w:val="000000" w:themeColor="text1"/>
          <w:kern w:val="2"/>
          <w:sz w:val="22"/>
          <w:szCs w:val="22"/>
          <w:highlight w:val="none"/>
          <w14:textFill>
            <w14:solidFill>
              <w14:schemeClr w14:val="tx1"/>
            </w14:solidFill>
          </w14:textFill>
        </w:rPr>
        <w:t>7.发布公告的媒介</w:t>
      </w:r>
    </w:p>
    <w:p w14:paraId="639EF99F">
      <w:pPr>
        <w:adjustRightInd w:val="0"/>
        <w:spacing w:line="42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本次招标公告在</w:t>
      </w:r>
      <w:r>
        <w:rPr>
          <w:rFonts w:hint="eastAsia" w:ascii="宋体" w:hAnsi="宋体" w:eastAsia="宋体" w:cs="宋体"/>
          <w:color w:val="000000" w:themeColor="text1"/>
          <w:sz w:val="22"/>
          <w:szCs w:val="22"/>
          <w:highlight w:val="none"/>
          <w:lang w:val="en-US" w:eastAsia="zh-CN"/>
          <w14:textFill>
            <w14:solidFill>
              <w14:schemeClr w14:val="tx1"/>
            </w14:solidFill>
          </w14:textFill>
        </w:rPr>
        <w:t>龙游县水务集团网站</w:t>
      </w:r>
      <w:r>
        <w:rPr>
          <w:rFonts w:hint="eastAsia" w:ascii="宋体" w:hAnsi="宋体" w:eastAsia="宋体" w:cs="宋体"/>
          <w:color w:val="000000" w:themeColor="text1"/>
          <w:sz w:val="22"/>
          <w:szCs w:val="22"/>
          <w:highlight w:val="none"/>
          <w14:textFill>
            <w14:solidFill>
              <w14:schemeClr w14:val="tx1"/>
            </w14:solidFill>
          </w14:textFill>
        </w:rPr>
        <w:t>上发布。</w:t>
      </w:r>
    </w:p>
    <w:p w14:paraId="693F53B0">
      <w:pPr>
        <w:pStyle w:val="42"/>
        <w:spacing w:line="42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r>
        <w:rPr>
          <w:rFonts w:hint="eastAsia" w:ascii="宋体" w:hAnsi="宋体" w:eastAsia="宋体" w:cs="宋体"/>
          <w:b/>
          <w:color w:val="000000" w:themeColor="text1"/>
          <w:kern w:val="2"/>
          <w:sz w:val="22"/>
          <w:szCs w:val="22"/>
          <w:highlight w:val="none"/>
          <w:lang w:val="en-US" w:eastAsia="zh-CN"/>
          <w14:textFill>
            <w14:solidFill>
              <w14:schemeClr w14:val="tx1"/>
            </w14:solidFill>
          </w14:textFill>
        </w:rPr>
        <w:t>8</w:t>
      </w:r>
      <w:r>
        <w:rPr>
          <w:rFonts w:hint="eastAsia" w:ascii="宋体" w:hAnsi="宋体" w:eastAsia="宋体" w:cs="宋体"/>
          <w:b/>
          <w:color w:val="000000" w:themeColor="text1"/>
          <w:kern w:val="2"/>
          <w:sz w:val="22"/>
          <w:szCs w:val="22"/>
          <w:highlight w:val="none"/>
          <w14:textFill>
            <w14:solidFill>
              <w14:schemeClr w14:val="tx1"/>
            </w14:solidFill>
          </w14:textFill>
        </w:rPr>
        <w:t>.联系方式</w:t>
      </w:r>
    </w:p>
    <w:p w14:paraId="282D5D90">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招标人：龙游华水水业发展有限公司</w:t>
      </w:r>
    </w:p>
    <w:p w14:paraId="75D9F128">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地  址：龙游县荣昌东路35号</w:t>
      </w:r>
    </w:p>
    <w:p w14:paraId="1577CAEF">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联系人：徐先生</w:t>
      </w:r>
    </w:p>
    <w:p w14:paraId="786468CA">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 xml:space="preserve">电  话：13757038313  </w:t>
      </w:r>
    </w:p>
    <w:p w14:paraId="7ACFADC1">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招标代理机构：杭州广厦建筑咨询有限公司</w:t>
      </w:r>
    </w:p>
    <w:p w14:paraId="1D8DF0F4">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地  址：龙游县东华街道荣昌东路12号广和集团502室</w:t>
      </w:r>
    </w:p>
    <w:p w14:paraId="6E0F52BB">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联系人：陈先生</w:t>
      </w:r>
    </w:p>
    <w:p w14:paraId="3F888B98">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 xml:space="preserve">电  话：15057001915/721915   </w:t>
      </w:r>
    </w:p>
    <w:p w14:paraId="3F580D25">
      <w:pPr>
        <w:keepNext w:val="0"/>
        <w:keepLines w:val="0"/>
        <w:widowControl w:val="0"/>
        <w:suppressLineNumbers w:val="0"/>
        <w:spacing w:before="0" w:beforeAutospacing="0" w:after="0" w:afterAutospacing="0" w:line="360" w:lineRule="auto"/>
        <w:ind w:left="6140" w:leftChars="200" w:right="0" w:hanging="5720" w:hangingChars="2600"/>
        <w:jc w:val="both"/>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2025年</w:t>
      </w:r>
      <w:r>
        <w:rPr>
          <w:rFonts w:hint="eastAsia" w:ascii="宋体" w:hAnsi="宋体" w:cs="宋体"/>
          <w:color w:val="000000" w:themeColor="text1"/>
          <w:kern w:val="2"/>
          <w:sz w:val="22"/>
          <w:szCs w:val="22"/>
          <w:highlight w:val="none"/>
          <w:lang w:val="en-US" w:eastAsia="zh-CN" w:bidi="ar"/>
          <w14:textFill>
            <w14:solidFill>
              <w14:schemeClr w14:val="tx1"/>
            </w14:solidFill>
          </w14:textFill>
        </w:rPr>
        <w:t>9</w:t>
      </w: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月</w:t>
      </w:r>
      <w:r>
        <w:rPr>
          <w:rFonts w:hint="eastAsia" w:ascii="宋体" w:hAnsi="宋体" w:cs="宋体"/>
          <w:color w:val="000000" w:themeColor="text1"/>
          <w:kern w:val="2"/>
          <w:sz w:val="22"/>
          <w:szCs w:val="22"/>
          <w:highlight w:val="none"/>
          <w:lang w:val="en-US" w:eastAsia="zh-CN" w:bidi="ar"/>
          <w14:textFill>
            <w14:solidFill>
              <w14:schemeClr w14:val="tx1"/>
            </w14:solidFill>
          </w14:textFill>
        </w:rPr>
        <w:t>16</w:t>
      </w: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日</w:t>
      </w:r>
    </w:p>
    <w:p w14:paraId="3923AA3F">
      <w:pPr>
        <w:rPr>
          <w:rFonts w:hint="eastAsia" w:ascii="宋体" w:hAnsi="宋体" w:eastAsia="宋体" w:cs="宋体"/>
          <w:color w:val="000000" w:themeColor="text1"/>
          <w:highlight w:val="none"/>
          <w14:textFill>
            <w14:solidFill>
              <w14:schemeClr w14:val="tx1"/>
            </w14:solidFill>
          </w14:textFill>
        </w:rPr>
      </w:pPr>
      <w:bookmarkStart w:id="2" w:name="_Toc399758518"/>
      <w:bookmarkStart w:id="3" w:name="_Toc399758953"/>
      <w:bookmarkStart w:id="4" w:name="_Toc480456296"/>
      <w:bookmarkStart w:id="5" w:name="_Toc506120268"/>
      <w:r>
        <w:rPr>
          <w:rFonts w:hint="eastAsia" w:ascii="宋体" w:hAnsi="宋体" w:eastAsia="宋体" w:cs="宋体"/>
          <w:color w:val="000000" w:themeColor="text1"/>
          <w:highlight w:val="none"/>
          <w14:textFill>
            <w14:solidFill>
              <w14:schemeClr w14:val="tx1"/>
            </w14:solidFill>
          </w14:textFill>
        </w:rPr>
        <w:br w:type="page"/>
      </w:r>
    </w:p>
    <w:p w14:paraId="31C6CC6B">
      <w:pPr>
        <w:pStyle w:val="4"/>
        <w:jc w:val="center"/>
        <w:rPr>
          <w:rFonts w:hint="eastAsia" w:ascii="宋体" w:hAnsi="宋体" w:eastAsia="宋体" w:cs="宋体"/>
          <w:color w:val="000000" w:themeColor="text1"/>
          <w:highlight w:val="none"/>
          <w14:textFill>
            <w14:solidFill>
              <w14:schemeClr w14:val="tx1"/>
            </w14:solidFill>
          </w14:textFill>
        </w:rPr>
      </w:pPr>
      <w:bookmarkStart w:id="6" w:name="_Toc16558"/>
      <w:r>
        <w:rPr>
          <w:rFonts w:hint="eastAsia" w:ascii="宋体" w:hAnsi="宋体" w:eastAsia="宋体" w:cs="宋体"/>
          <w:color w:val="000000" w:themeColor="text1"/>
          <w:highlight w:val="none"/>
          <w14:textFill>
            <w14:solidFill>
              <w14:schemeClr w14:val="tx1"/>
            </w14:solidFill>
          </w14:textFill>
        </w:rPr>
        <w:t>第二章  投标人须知</w:t>
      </w:r>
      <w:bookmarkEnd w:id="2"/>
      <w:bookmarkEnd w:id="3"/>
      <w:bookmarkEnd w:id="4"/>
      <w:bookmarkEnd w:id="5"/>
      <w:bookmarkEnd w:id="6"/>
    </w:p>
    <w:p w14:paraId="323F24FF">
      <w:pPr>
        <w:jc w:val="center"/>
        <w:rPr>
          <w:rFonts w:hint="eastAsia" w:ascii="宋体" w:hAnsi="宋体" w:eastAsia="宋体" w:cs="宋体"/>
          <w:b/>
          <w:color w:val="000000" w:themeColor="text1"/>
          <w:sz w:val="32"/>
          <w:highlight w:val="none"/>
          <w14:textFill>
            <w14:solidFill>
              <w14:schemeClr w14:val="tx1"/>
            </w14:solidFill>
          </w14:textFill>
        </w:rPr>
      </w:pPr>
      <w:bookmarkStart w:id="7" w:name="_Toc144974496"/>
      <w:bookmarkStart w:id="8" w:name="_Toc152042304"/>
      <w:bookmarkStart w:id="9" w:name="_Toc465236829"/>
      <w:bookmarkStart w:id="10" w:name="_Toc466295454"/>
      <w:bookmarkStart w:id="11" w:name="_Toc465236676"/>
      <w:bookmarkStart w:id="12" w:name="_Toc361338235"/>
      <w:bookmarkStart w:id="13" w:name="_Toc465236858"/>
      <w:bookmarkStart w:id="14" w:name="_Toc465236644"/>
      <w:bookmarkStart w:id="15" w:name="_Toc465236699"/>
      <w:bookmarkStart w:id="16" w:name="_Toc152045528"/>
      <w:bookmarkStart w:id="17" w:name="_Toc506120269"/>
      <w:r>
        <w:rPr>
          <w:rFonts w:hint="eastAsia" w:ascii="宋体" w:hAnsi="宋体" w:eastAsia="宋体" w:cs="宋体"/>
          <w:b/>
          <w:color w:val="000000" w:themeColor="text1"/>
          <w:sz w:val="32"/>
          <w:highlight w:val="none"/>
          <w14:textFill>
            <w14:solidFill>
              <w14:schemeClr w14:val="tx1"/>
            </w14:solidFill>
          </w14:textFill>
        </w:rPr>
        <w:t>投标人须知前附表</w:t>
      </w:r>
      <w:bookmarkEnd w:id="7"/>
      <w:bookmarkEnd w:id="8"/>
      <w:bookmarkEnd w:id="9"/>
      <w:bookmarkEnd w:id="10"/>
      <w:bookmarkEnd w:id="11"/>
      <w:bookmarkEnd w:id="12"/>
      <w:bookmarkEnd w:id="13"/>
      <w:bookmarkEnd w:id="14"/>
      <w:bookmarkEnd w:id="15"/>
      <w:bookmarkEnd w:id="16"/>
      <w:bookmarkEnd w:id="17"/>
    </w:p>
    <w:tbl>
      <w:tblPr>
        <w:tblStyle w:val="27"/>
        <w:tblW w:w="9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1950"/>
        <w:gridCol w:w="6885"/>
      </w:tblGrid>
      <w:tr w14:paraId="2BA73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jc w:val="center"/>
        </w:trPr>
        <w:tc>
          <w:tcPr>
            <w:tcW w:w="899" w:type="dxa"/>
            <w:vAlign w:val="center"/>
          </w:tcPr>
          <w:p w14:paraId="04758FFD">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条款号</w:t>
            </w:r>
          </w:p>
        </w:tc>
        <w:tc>
          <w:tcPr>
            <w:tcW w:w="1950" w:type="dxa"/>
            <w:vAlign w:val="center"/>
          </w:tcPr>
          <w:p w14:paraId="2AEFB4E4">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条款名称</w:t>
            </w:r>
          </w:p>
        </w:tc>
        <w:tc>
          <w:tcPr>
            <w:tcW w:w="6885" w:type="dxa"/>
            <w:vAlign w:val="center"/>
          </w:tcPr>
          <w:p w14:paraId="6869A6D2">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编列内容</w:t>
            </w:r>
          </w:p>
        </w:tc>
      </w:tr>
      <w:tr w14:paraId="04B3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99" w:type="dxa"/>
            <w:vAlign w:val="center"/>
          </w:tcPr>
          <w:p w14:paraId="7C0966CC">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1.1.2</w:t>
            </w:r>
          </w:p>
        </w:tc>
        <w:tc>
          <w:tcPr>
            <w:tcW w:w="1950" w:type="dxa"/>
            <w:vAlign w:val="center"/>
          </w:tcPr>
          <w:p w14:paraId="349CB593">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招标人</w:t>
            </w:r>
          </w:p>
        </w:tc>
        <w:tc>
          <w:tcPr>
            <w:tcW w:w="6885" w:type="dxa"/>
            <w:vAlign w:val="center"/>
          </w:tcPr>
          <w:p w14:paraId="660D9678">
            <w:pPr>
              <w:snapToGrid w:val="0"/>
              <w:spacing w:before="93" w:beforeLines="30" w:after="93" w:afterLines="30"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名  称：龙游华水水业发展有限公司</w:t>
            </w:r>
          </w:p>
          <w:p w14:paraId="7EE09441">
            <w:pPr>
              <w:snapToGrid w:val="0"/>
              <w:spacing w:before="93" w:beforeLines="30" w:after="93" w:afterLines="30"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地  址：龙游县荣昌东路35号</w:t>
            </w:r>
          </w:p>
          <w:p w14:paraId="35917BEF">
            <w:pPr>
              <w:snapToGrid w:val="0"/>
              <w:spacing w:before="93" w:beforeLines="30" w:after="93" w:afterLines="30"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联系人：徐先生</w:t>
            </w:r>
          </w:p>
          <w:p w14:paraId="700874B8">
            <w:pPr>
              <w:snapToGrid w:val="0"/>
              <w:spacing w:before="93" w:beforeLines="30" w:after="93" w:afterLines="30" w:line="340" w:lineRule="exact"/>
              <w:rPr>
                <w:rFonts w:hint="eastAsia" w:ascii="宋体" w:hAnsi="宋体" w:eastAsia="宋体" w:cs="宋体"/>
                <w:color w:val="000000" w:themeColor="text1"/>
                <w:sz w:val="22"/>
                <w:szCs w:val="22"/>
                <w:highlight w:val="none"/>
                <w:lang w:val="en-US"/>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电  话：</w:t>
            </w: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13757038313</w:t>
            </w:r>
          </w:p>
        </w:tc>
      </w:tr>
      <w:tr w14:paraId="13F8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vAlign w:val="center"/>
          </w:tcPr>
          <w:p w14:paraId="0E4BA051">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1.1.3</w:t>
            </w:r>
          </w:p>
        </w:tc>
        <w:tc>
          <w:tcPr>
            <w:tcW w:w="1950" w:type="dxa"/>
            <w:vAlign w:val="center"/>
          </w:tcPr>
          <w:p w14:paraId="5185DF57">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招标代理机构</w:t>
            </w:r>
          </w:p>
        </w:tc>
        <w:tc>
          <w:tcPr>
            <w:tcW w:w="6885" w:type="dxa"/>
            <w:vAlign w:val="center"/>
          </w:tcPr>
          <w:p w14:paraId="62883C04">
            <w:pPr>
              <w:snapToGrid w:val="0"/>
              <w:spacing w:before="93" w:beforeLines="30" w:after="93" w:afterLines="30" w:line="340" w:lineRule="exact"/>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名</w:t>
            </w: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称：</w:t>
            </w:r>
            <w:r>
              <w:rPr>
                <w:rFonts w:hint="eastAsia" w:ascii="宋体" w:hAnsi="宋体" w:eastAsia="宋体" w:cs="宋体"/>
                <w:color w:val="000000" w:themeColor="text1"/>
                <w:sz w:val="22"/>
                <w:szCs w:val="22"/>
                <w:highlight w:val="none"/>
                <w:lang w:eastAsia="zh-CN"/>
                <w14:textFill>
                  <w14:solidFill>
                    <w14:schemeClr w14:val="tx1"/>
                  </w14:solidFill>
                </w14:textFill>
              </w:rPr>
              <w:t>杭州广厦建筑咨询有限公司</w:t>
            </w:r>
          </w:p>
          <w:p w14:paraId="7BD57DFE">
            <w:pPr>
              <w:snapToGrid w:val="0"/>
              <w:spacing w:before="93" w:beforeLines="30" w:after="93" w:afterLines="30"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地</w:t>
            </w: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址：</w:t>
            </w:r>
            <w:r>
              <w:rPr>
                <w:rFonts w:hint="eastAsia" w:ascii="宋体" w:hAnsi="宋体" w:eastAsia="宋体" w:cs="宋体"/>
                <w:color w:val="000000" w:themeColor="text1"/>
                <w:kern w:val="2"/>
                <w:sz w:val="22"/>
                <w:szCs w:val="22"/>
                <w:highlight w:val="none"/>
                <w:lang w:val="en-US" w:eastAsia="zh-CN" w:bidi="ar"/>
                <w14:textFill>
                  <w14:solidFill>
                    <w14:schemeClr w14:val="tx1"/>
                  </w14:solidFill>
                </w14:textFill>
              </w:rPr>
              <w:t>龙游县东华街道荣昌东路12号广和集团502室</w:t>
            </w:r>
          </w:p>
          <w:p w14:paraId="4E3C38A3">
            <w:pPr>
              <w:snapToGrid w:val="0"/>
              <w:spacing w:before="93" w:beforeLines="30" w:after="93" w:afterLines="30"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联系人：</w:t>
            </w:r>
            <w:r>
              <w:rPr>
                <w:rFonts w:hint="eastAsia" w:ascii="宋体" w:hAnsi="宋体" w:eastAsia="宋体" w:cs="宋体"/>
                <w:color w:val="000000" w:themeColor="text1"/>
                <w:sz w:val="22"/>
                <w:szCs w:val="22"/>
                <w:highlight w:val="none"/>
                <w:lang w:val="en-US" w:eastAsia="zh-CN"/>
                <w14:textFill>
                  <w14:solidFill>
                    <w14:schemeClr w14:val="tx1"/>
                  </w14:solidFill>
                </w14:textFill>
              </w:rPr>
              <w:t>陈</w:t>
            </w:r>
            <w:r>
              <w:rPr>
                <w:rFonts w:hint="eastAsia" w:ascii="宋体" w:hAnsi="宋体" w:eastAsia="宋体" w:cs="宋体"/>
                <w:color w:val="000000" w:themeColor="text1"/>
                <w:sz w:val="22"/>
                <w:szCs w:val="22"/>
                <w:highlight w:val="none"/>
                <w14:textFill>
                  <w14:solidFill>
                    <w14:schemeClr w14:val="tx1"/>
                  </w14:solidFill>
                </w14:textFill>
              </w:rPr>
              <w:t>先生</w:t>
            </w:r>
          </w:p>
          <w:p w14:paraId="5525EEE8">
            <w:pPr>
              <w:snapToGrid w:val="0"/>
              <w:spacing w:before="93" w:beforeLines="30" w:after="93" w:afterLines="30" w:line="340" w:lineRule="exact"/>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电</w:t>
            </w: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话：</w:t>
            </w:r>
            <w:r>
              <w:rPr>
                <w:rFonts w:hint="eastAsia" w:ascii="宋体" w:hAnsi="宋体" w:eastAsia="宋体" w:cs="宋体"/>
                <w:color w:val="000000" w:themeColor="text1"/>
                <w:sz w:val="22"/>
                <w:szCs w:val="22"/>
                <w:highlight w:val="none"/>
                <w:lang w:val="en-US" w:eastAsia="zh-CN"/>
                <w14:textFill>
                  <w14:solidFill>
                    <w14:schemeClr w14:val="tx1"/>
                  </w14:solidFill>
                </w14:textFill>
              </w:rPr>
              <w:t>15057001915/721915</w:t>
            </w:r>
          </w:p>
        </w:tc>
      </w:tr>
      <w:tr w14:paraId="3DDC2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899" w:type="dxa"/>
            <w:vAlign w:val="center"/>
          </w:tcPr>
          <w:p w14:paraId="573CF87E">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1.1.4</w:t>
            </w:r>
          </w:p>
        </w:tc>
        <w:tc>
          <w:tcPr>
            <w:tcW w:w="1950" w:type="dxa"/>
            <w:vAlign w:val="center"/>
          </w:tcPr>
          <w:p w14:paraId="78CC949C">
            <w:pPr>
              <w:snapToGrid w:val="0"/>
              <w:spacing w:before="93" w:beforeLines="30" w:after="93" w:afterLines="30" w:line="340" w:lineRule="exact"/>
              <w:jc w:val="center"/>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项目概况</w:t>
            </w:r>
          </w:p>
        </w:tc>
        <w:tc>
          <w:tcPr>
            <w:tcW w:w="6885" w:type="dxa"/>
            <w:vAlign w:val="center"/>
          </w:tcPr>
          <w:p w14:paraId="7B657F4E">
            <w:pPr>
              <w:snapToGrid w:val="0"/>
              <w:spacing w:before="93" w:beforeLines="30" w:after="93" w:afterLines="30"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见招标公告</w:t>
            </w:r>
          </w:p>
        </w:tc>
      </w:tr>
      <w:tr w14:paraId="44996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9" w:type="dxa"/>
            <w:vAlign w:val="center"/>
          </w:tcPr>
          <w:p w14:paraId="39DDB420">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1.2.1</w:t>
            </w:r>
          </w:p>
        </w:tc>
        <w:tc>
          <w:tcPr>
            <w:tcW w:w="1950" w:type="dxa"/>
            <w:vAlign w:val="center"/>
          </w:tcPr>
          <w:p w14:paraId="0DF5C271">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资金来源</w:t>
            </w:r>
          </w:p>
        </w:tc>
        <w:tc>
          <w:tcPr>
            <w:tcW w:w="6885" w:type="dxa"/>
            <w:vAlign w:val="center"/>
          </w:tcPr>
          <w:p w14:paraId="71B7FBD2">
            <w:pPr>
              <w:snapToGrid w:val="0"/>
              <w:spacing w:before="93" w:beforeLines="30" w:after="93" w:afterLines="30"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自筹资金</w:t>
            </w:r>
          </w:p>
        </w:tc>
      </w:tr>
      <w:tr w14:paraId="71D23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99" w:type="dxa"/>
            <w:vAlign w:val="center"/>
          </w:tcPr>
          <w:p w14:paraId="18A1D681">
            <w:pPr>
              <w:snapToGrid w:val="0"/>
              <w:spacing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1.2.3</w:t>
            </w:r>
          </w:p>
        </w:tc>
        <w:tc>
          <w:tcPr>
            <w:tcW w:w="1950" w:type="dxa"/>
            <w:vAlign w:val="center"/>
          </w:tcPr>
          <w:p w14:paraId="6CCB243E">
            <w:pPr>
              <w:snapToGrid w:val="0"/>
              <w:spacing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资金落实情况</w:t>
            </w:r>
          </w:p>
        </w:tc>
        <w:tc>
          <w:tcPr>
            <w:tcW w:w="6885" w:type="dxa"/>
            <w:vAlign w:val="center"/>
          </w:tcPr>
          <w:p w14:paraId="1FE8AAB7">
            <w:pPr>
              <w:snapToGrid w:val="0"/>
              <w:spacing w:before="93" w:beforeLines="30" w:after="93" w:afterLines="30"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已落实</w:t>
            </w:r>
          </w:p>
        </w:tc>
      </w:tr>
      <w:tr w14:paraId="4CD2E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99" w:type="dxa"/>
            <w:vAlign w:val="center"/>
          </w:tcPr>
          <w:p w14:paraId="2F9D11E9">
            <w:pPr>
              <w:snapToGrid w:val="0"/>
              <w:spacing w:before="93" w:beforeLines="30" w:after="93" w:afterLines="30" w:line="370" w:lineRule="exact"/>
              <w:jc w:val="center"/>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1.3.</w:t>
            </w: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p>
        </w:tc>
        <w:tc>
          <w:tcPr>
            <w:tcW w:w="1950" w:type="dxa"/>
            <w:vAlign w:val="center"/>
          </w:tcPr>
          <w:p w14:paraId="3FB20424">
            <w:pPr>
              <w:snapToGrid w:val="0"/>
              <w:spacing w:line="370" w:lineRule="exact"/>
              <w:jc w:val="center"/>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服务</w:t>
            </w:r>
            <w:r>
              <w:rPr>
                <w:rFonts w:hint="eastAsia" w:ascii="宋体" w:hAnsi="宋体" w:eastAsia="宋体" w:cs="宋体"/>
                <w:color w:val="000000" w:themeColor="text1"/>
                <w:sz w:val="22"/>
                <w:szCs w:val="22"/>
                <w:highlight w:val="none"/>
                <w:lang w:eastAsia="zh-CN"/>
                <w14:textFill>
                  <w14:solidFill>
                    <w14:schemeClr w14:val="tx1"/>
                  </w14:solidFill>
                </w14:textFill>
              </w:rPr>
              <w:t>期限</w:t>
            </w:r>
          </w:p>
        </w:tc>
        <w:tc>
          <w:tcPr>
            <w:tcW w:w="6885" w:type="dxa"/>
            <w:vAlign w:val="center"/>
          </w:tcPr>
          <w:p w14:paraId="2D43453C">
            <w:pPr>
              <w:snapToGrid w:val="0"/>
              <w:spacing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按“管道应急维修及零星作业班组入围招标”合同协议书服务时间执行</w:t>
            </w:r>
          </w:p>
        </w:tc>
      </w:tr>
      <w:tr w14:paraId="459D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4D632DBD">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1.4.1</w:t>
            </w:r>
          </w:p>
        </w:tc>
        <w:tc>
          <w:tcPr>
            <w:tcW w:w="1950" w:type="dxa"/>
            <w:tcBorders>
              <w:top w:val="single" w:color="auto" w:sz="4" w:space="0"/>
              <w:left w:val="single" w:color="auto" w:sz="4" w:space="0"/>
              <w:bottom w:val="single" w:color="auto" w:sz="4" w:space="0"/>
              <w:right w:val="single" w:color="auto" w:sz="4" w:space="0"/>
            </w:tcBorders>
            <w:vAlign w:val="center"/>
          </w:tcPr>
          <w:p w14:paraId="6FFA55A3">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投标人资格要求</w:t>
            </w:r>
          </w:p>
        </w:tc>
        <w:tc>
          <w:tcPr>
            <w:tcW w:w="6885" w:type="dxa"/>
            <w:tcBorders>
              <w:top w:val="single" w:color="auto" w:sz="4" w:space="0"/>
              <w:left w:val="single" w:color="auto" w:sz="4" w:space="0"/>
              <w:bottom w:val="single" w:color="auto" w:sz="4" w:space="0"/>
              <w:right w:val="single" w:color="auto" w:sz="4" w:space="0"/>
            </w:tcBorders>
            <w:vAlign w:val="center"/>
          </w:tcPr>
          <w:p w14:paraId="50B17E84">
            <w:pPr>
              <w:keepNext w:val="0"/>
              <w:keepLines w:val="0"/>
              <w:pageBreakBefore w:val="0"/>
              <w:widowControl w:val="0"/>
              <w:kinsoku/>
              <w:wordWrap/>
              <w:overflowPunct/>
              <w:topLinePunct w:val="0"/>
              <w:autoSpaceDE/>
              <w:autoSpaceDN/>
              <w:bidi w:val="0"/>
              <w:snapToGrid w:val="0"/>
              <w:spacing w:line="340" w:lineRule="exact"/>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见招标公告</w:t>
            </w:r>
          </w:p>
        </w:tc>
      </w:tr>
      <w:tr w14:paraId="1CFB1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CA47AC2">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1.4.2</w:t>
            </w:r>
          </w:p>
        </w:tc>
        <w:tc>
          <w:tcPr>
            <w:tcW w:w="1950" w:type="dxa"/>
            <w:tcBorders>
              <w:top w:val="single" w:color="auto" w:sz="4" w:space="0"/>
              <w:left w:val="single" w:color="auto" w:sz="4" w:space="0"/>
              <w:bottom w:val="single" w:color="auto" w:sz="4" w:space="0"/>
              <w:right w:val="single" w:color="auto" w:sz="4" w:space="0"/>
            </w:tcBorders>
            <w:vAlign w:val="center"/>
          </w:tcPr>
          <w:p w14:paraId="684CF0DD">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是否接受联合体投标</w:t>
            </w:r>
          </w:p>
        </w:tc>
        <w:tc>
          <w:tcPr>
            <w:tcW w:w="6885" w:type="dxa"/>
            <w:tcBorders>
              <w:top w:val="single" w:color="auto" w:sz="4" w:space="0"/>
              <w:left w:val="single" w:color="auto" w:sz="4" w:space="0"/>
              <w:bottom w:val="single" w:color="auto" w:sz="4" w:space="0"/>
              <w:right w:val="single" w:color="auto" w:sz="4" w:space="0"/>
            </w:tcBorders>
            <w:vAlign w:val="center"/>
          </w:tcPr>
          <w:p w14:paraId="510B8FDD">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bdr w:val="single" w:color="auto" w:sz="4" w:space="0"/>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 xml:space="preserve"> 不接受</w:t>
            </w:r>
          </w:p>
          <w:p w14:paraId="2F714321">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□接受，应满足下列要求：</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w:t>
            </w:r>
          </w:p>
        </w:tc>
      </w:tr>
      <w:tr w14:paraId="7FCC4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5677F778">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1.10.1</w:t>
            </w:r>
          </w:p>
        </w:tc>
        <w:tc>
          <w:tcPr>
            <w:tcW w:w="1950" w:type="dxa"/>
            <w:tcBorders>
              <w:top w:val="single" w:color="auto" w:sz="4" w:space="0"/>
              <w:left w:val="single" w:color="auto" w:sz="4" w:space="0"/>
              <w:bottom w:val="single" w:color="auto" w:sz="4" w:space="0"/>
              <w:right w:val="single" w:color="auto" w:sz="4" w:space="0"/>
            </w:tcBorders>
            <w:vAlign w:val="center"/>
          </w:tcPr>
          <w:p w14:paraId="007F4D26">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踏勘现场</w:t>
            </w:r>
          </w:p>
        </w:tc>
        <w:tc>
          <w:tcPr>
            <w:tcW w:w="6885" w:type="dxa"/>
            <w:tcBorders>
              <w:top w:val="single" w:color="auto" w:sz="4" w:space="0"/>
              <w:left w:val="single" w:color="auto" w:sz="4" w:space="0"/>
              <w:bottom w:val="single" w:color="auto" w:sz="4" w:space="0"/>
              <w:right w:val="single" w:color="auto" w:sz="4" w:space="0"/>
            </w:tcBorders>
            <w:vAlign w:val="center"/>
          </w:tcPr>
          <w:p w14:paraId="4F67D954">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bdr w:val="single" w:color="auto" w:sz="4" w:space="0"/>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 xml:space="preserve"> 不组织</w:t>
            </w:r>
          </w:p>
          <w:p w14:paraId="4F432616">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□组织，联系人：</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；电话：</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w:t>
            </w:r>
          </w:p>
          <w:p w14:paraId="7BE40143">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踏勘时间：</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；踏勘集中地点：</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w:t>
            </w:r>
          </w:p>
        </w:tc>
      </w:tr>
      <w:tr w14:paraId="26F89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AE72D3C">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1.11.1</w:t>
            </w:r>
          </w:p>
        </w:tc>
        <w:tc>
          <w:tcPr>
            <w:tcW w:w="1950" w:type="dxa"/>
            <w:tcBorders>
              <w:top w:val="single" w:color="auto" w:sz="4" w:space="0"/>
              <w:left w:val="single" w:color="auto" w:sz="4" w:space="0"/>
              <w:bottom w:val="single" w:color="auto" w:sz="4" w:space="0"/>
              <w:right w:val="single" w:color="auto" w:sz="4" w:space="0"/>
            </w:tcBorders>
            <w:vAlign w:val="center"/>
          </w:tcPr>
          <w:p w14:paraId="3A0630F6">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投标预备会</w:t>
            </w:r>
          </w:p>
        </w:tc>
        <w:tc>
          <w:tcPr>
            <w:tcW w:w="6885" w:type="dxa"/>
            <w:tcBorders>
              <w:top w:val="single" w:color="auto" w:sz="4" w:space="0"/>
              <w:left w:val="single" w:color="auto" w:sz="4" w:space="0"/>
              <w:bottom w:val="single" w:color="auto" w:sz="4" w:space="0"/>
              <w:right w:val="single" w:color="auto" w:sz="4" w:space="0"/>
            </w:tcBorders>
            <w:vAlign w:val="center"/>
          </w:tcPr>
          <w:p w14:paraId="70B616AA">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bdr w:val="single" w:color="auto" w:sz="4" w:space="0"/>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不召开</w:t>
            </w:r>
          </w:p>
          <w:p w14:paraId="5A16F4DC">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□召开，召开时间：</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；召开地点：</w:t>
            </w:r>
            <w:r>
              <w:rPr>
                <w:rFonts w:hint="eastAsia" w:ascii="宋体" w:hAnsi="宋体" w:eastAsia="宋体" w:cs="宋体"/>
                <w:color w:val="000000" w:themeColor="text1"/>
                <w:sz w:val="22"/>
                <w:szCs w:val="22"/>
                <w:highlight w:val="none"/>
                <w:u w:val="single"/>
                <w14:textFill>
                  <w14:solidFill>
                    <w14:schemeClr w14:val="tx1"/>
                  </w14:solidFill>
                </w14:textFill>
              </w:rPr>
              <w:t xml:space="preserve">  /  </w:t>
            </w:r>
            <w:r>
              <w:rPr>
                <w:rFonts w:hint="eastAsia" w:ascii="宋体" w:hAnsi="宋体" w:eastAsia="宋体" w:cs="宋体"/>
                <w:color w:val="000000" w:themeColor="text1"/>
                <w:sz w:val="22"/>
                <w:szCs w:val="22"/>
                <w:highlight w:val="none"/>
                <w14:textFill>
                  <w14:solidFill>
                    <w14:schemeClr w14:val="tx1"/>
                  </w14:solidFill>
                </w14:textFill>
              </w:rPr>
              <w:t>。</w:t>
            </w:r>
          </w:p>
        </w:tc>
      </w:tr>
      <w:tr w14:paraId="50AB6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7A621745">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1.11.2</w:t>
            </w:r>
          </w:p>
        </w:tc>
        <w:tc>
          <w:tcPr>
            <w:tcW w:w="1950" w:type="dxa"/>
            <w:tcBorders>
              <w:top w:val="single" w:color="auto" w:sz="4" w:space="0"/>
              <w:left w:val="single" w:color="auto" w:sz="4" w:space="0"/>
              <w:bottom w:val="single" w:color="auto" w:sz="4" w:space="0"/>
              <w:right w:val="single" w:color="auto" w:sz="4" w:space="0"/>
            </w:tcBorders>
            <w:vAlign w:val="center"/>
          </w:tcPr>
          <w:p w14:paraId="082A820B">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投标人提出问题的截止时间</w:t>
            </w:r>
          </w:p>
        </w:tc>
        <w:tc>
          <w:tcPr>
            <w:tcW w:w="6885" w:type="dxa"/>
            <w:tcBorders>
              <w:top w:val="single" w:color="auto" w:sz="4" w:space="0"/>
              <w:left w:val="single" w:color="auto" w:sz="4" w:space="0"/>
              <w:bottom w:val="single" w:color="auto" w:sz="4" w:space="0"/>
              <w:right w:val="single" w:color="auto" w:sz="4" w:space="0"/>
            </w:tcBorders>
            <w:vAlign w:val="center"/>
          </w:tcPr>
          <w:p w14:paraId="6531B31E">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投标人若对招标文件有任何疑问，应于投标截止日期至少</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天前向招标人提出澄清要求，以书面方式送至或传真至代理公司</w:t>
            </w:r>
          </w:p>
        </w:tc>
      </w:tr>
      <w:tr w14:paraId="34E8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32942777">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1.11.3</w:t>
            </w:r>
          </w:p>
        </w:tc>
        <w:tc>
          <w:tcPr>
            <w:tcW w:w="1950" w:type="dxa"/>
            <w:tcBorders>
              <w:top w:val="single" w:color="auto" w:sz="4" w:space="0"/>
              <w:left w:val="single" w:color="auto" w:sz="4" w:space="0"/>
              <w:bottom w:val="single" w:color="auto" w:sz="4" w:space="0"/>
              <w:right w:val="single" w:color="auto" w:sz="4" w:space="0"/>
            </w:tcBorders>
            <w:vAlign w:val="center"/>
          </w:tcPr>
          <w:p w14:paraId="246D252C">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招标人书面澄清的时间</w:t>
            </w:r>
          </w:p>
        </w:tc>
        <w:tc>
          <w:tcPr>
            <w:tcW w:w="6885" w:type="dxa"/>
            <w:tcBorders>
              <w:top w:val="single" w:color="auto" w:sz="4" w:space="0"/>
              <w:left w:val="single" w:color="auto" w:sz="4" w:space="0"/>
              <w:bottom w:val="single" w:color="auto" w:sz="4" w:space="0"/>
              <w:right w:val="single" w:color="auto" w:sz="4" w:space="0"/>
            </w:tcBorders>
            <w:vAlign w:val="center"/>
          </w:tcPr>
          <w:p w14:paraId="127AF950">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无论是招标人根据需要主动对招标文件进行必要的澄清，或是根据投标人的要求对招标文件做出澄清，招标人都将于投标截止时间</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天前予以澄清，如果澄清文件发出的时间距投标截止时间不足</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天的，如对投标人有实质性影响的，则相应延长投标截止时间，招标文件澄清在</w:t>
            </w:r>
            <w:r>
              <w:rPr>
                <w:rFonts w:hint="eastAsia" w:ascii="宋体" w:hAnsi="宋体" w:eastAsia="宋体" w:cs="宋体"/>
                <w:color w:val="000000" w:themeColor="text1"/>
                <w:sz w:val="22"/>
                <w:szCs w:val="22"/>
                <w:highlight w:val="none"/>
                <w:lang w:val="en-US" w:eastAsia="zh-CN"/>
                <w14:textFill>
                  <w14:solidFill>
                    <w14:schemeClr w14:val="tx1"/>
                  </w14:solidFill>
                </w14:textFill>
              </w:rPr>
              <w:t>龙游县水务集团网站</w:t>
            </w:r>
            <w:r>
              <w:rPr>
                <w:rFonts w:hint="eastAsia" w:ascii="宋体" w:hAnsi="宋体" w:eastAsia="宋体" w:cs="宋体"/>
                <w:color w:val="000000" w:themeColor="text1"/>
                <w:sz w:val="22"/>
                <w:szCs w:val="22"/>
                <w:highlight w:val="none"/>
                <w14:textFill>
                  <w14:solidFill>
                    <w14:schemeClr w14:val="tx1"/>
                  </w14:solidFill>
                </w14:textFill>
              </w:rPr>
              <w:t>上公布，在投标截止时间前，投标人须自行到网上查看，视为已获取。</w:t>
            </w:r>
          </w:p>
        </w:tc>
      </w:tr>
      <w:tr w14:paraId="7B0B2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408886DA">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2.1</w:t>
            </w:r>
          </w:p>
        </w:tc>
        <w:tc>
          <w:tcPr>
            <w:tcW w:w="1950" w:type="dxa"/>
            <w:tcBorders>
              <w:top w:val="single" w:color="auto" w:sz="4" w:space="0"/>
              <w:left w:val="single" w:color="auto" w:sz="4" w:space="0"/>
              <w:bottom w:val="single" w:color="auto" w:sz="4" w:space="0"/>
              <w:right w:val="single" w:color="auto" w:sz="4" w:space="0"/>
            </w:tcBorders>
            <w:vAlign w:val="center"/>
          </w:tcPr>
          <w:p w14:paraId="75539885">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构成招标文件的其他材料</w:t>
            </w:r>
          </w:p>
        </w:tc>
        <w:tc>
          <w:tcPr>
            <w:tcW w:w="6885" w:type="dxa"/>
            <w:tcBorders>
              <w:top w:val="single" w:color="auto" w:sz="4" w:space="0"/>
              <w:left w:val="single" w:color="auto" w:sz="4" w:space="0"/>
              <w:bottom w:val="single" w:color="auto" w:sz="4" w:space="0"/>
              <w:right w:val="single" w:color="auto" w:sz="4" w:space="0"/>
            </w:tcBorders>
            <w:vAlign w:val="center"/>
          </w:tcPr>
          <w:p w14:paraId="5F6AB09D">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w:t>
            </w:r>
          </w:p>
        </w:tc>
      </w:tr>
      <w:tr w14:paraId="28EDA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680C76D1">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3.1.1</w:t>
            </w:r>
          </w:p>
        </w:tc>
        <w:tc>
          <w:tcPr>
            <w:tcW w:w="1950" w:type="dxa"/>
            <w:tcBorders>
              <w:top w:val="single" w:color="auto" w:sz="4" w:space="0"/>
              <w:left w:val="single" w:color="auto" w:sz="4" w:space="0"/>
              <w:bottom w:val="single" w:color="auto" w:sz="4" w:space="0"/>
              <w:right w:val="single" w:color="auto" w:sz="4" w:space="0"/>
            </w:tcBorders>
            <w:vAlign w:val="center"/>
          </w:tcPr>
          <w:p w14:paraId="4F835B7C">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投标文件包括的内容</w:t>
            </w:r>
          </w:p>
        </w:tc>
        <w:tc>
          <w:tcPr>
            <w:tcW w:w="6885" w:type="dxa"/>
            <w:tcBorders>
              <w:top w:val="single" w:color="auto" w:sz="4" w:space="0"/>
              <w:left w:val="single" w:color="auto" w:sz="4" w:space="0"/>
              <w:bottom w:val="single" w:color="auto" w:sz="4" w:space="0"/>
              <w:right w:val="single" w:color="auto" w:sz="4" w:space="0"/>
            </w:tcBorders>
            <w:vAlign w:val="center"/>
          </w:tcPr>
          <w:p w14:paraId="43687B73">
            <w:pPr>
              <w:snapToGrid w:val="0"/>
              <w:spacing w:before="93" w:beforeLines="30" w:after="93" w:afterLines="30"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bdr w:val="single" w:color="auto" w:sz="4" w:space="0"/>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纸质投标文件</w:t>
            </w:r>
            <w:r>
              <w:rPr>
                <w:rFonts w:hint="eastAsia" w:ascii="宋体" w:hAnsi="宋体" w:eastAsia="宋体" w:cs="宋体"/>
                <w:color w:val="000000" w:themeColor="text1"/>
                <w:sz w:val="22"/>
                <w:szCs w:val="22"/>
                <w:highlight w:val="none"/>
                <w14:textFill>
                  <w14:solidFill>
                    <w14:schemeClr w14:val="tx1"/>
                  </w14:solidFill>
                </w14:textFill>
              </w:rPr>
              <w:t>：一份正本，四份副本；</w:t>
            </w:r>
          </w:p>
        </w:tc>
      </w:tr>
      <w:tr w14:paraId="5EB9C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71CB3804">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3.3.1</w:t>
            </w:r>
          </w:p>
        </w:tc>
        <w:tc>
          <w:tcPr>
            <w:tcW w:w="1950" w:type="dxa"/>
            <w:tcBorders>
              <w:top w:val="single" w:color="auto" w:sz="4" w:space="0"/>
              <w:left w:val="single" w:color="auto" w:sz="4" w:space="0"/>
              <w:bottom w:val="single" w:color="auto" w:sz="4" w:space="0"/>
              <w:right w:val="single" w:color="auto" w:sz="4" w:space="0"/>
            </w:tcBorders>
            <w:vAlign w:val="center"/>
          </w:tcPr>
          <w:p w14:paraId="51D92E5A">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投标有效期</w:t>
            </w:r>
          </w:p>
        </w:tc>
        <w:tc>
          <w:tcPr>
            <w:tcW w:w="6885" w:type="dxa"/>
            <w:tcBorders>
              <w:top w:val="single" w:color="auto" w:sz="4" w:space="0"/>
              <w:left w:val="single" w:color="auto" w:sz="4" w:space="0"/>
              <w:bottom w:val="single" w:color="auto" w:sz="4" w:space="0"/>
              <w:right w:val="single" w:color="auto" w:sz="4" w:space="0"/>
            </w:tcBorders>
            <w:vAlign w:val="center"/>
          </w:tcPr>
          <w:p w14:paraId="6FB77C49">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90日历天（从投标截止之日起计算）</w:t>
            </w:r>
          </w:p>
        </w:tc>
      </w:tr>
      <w:tr w14:paraId="34D03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BED846E">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3.4.1</w:t>
            </w:r>
          </w:p>
        </w:tc>
        <w:tc>
          <w:tcPr>
            <w:tcW w:w="1950" w:type="dxa"/>
            <w:tcBorders>
              <w:top w:val="single" w:color="auto" w:sz="4" w:space="0"/>
              <w:left w:val="single" w:color="auto" w:sz="4" w:space="0"/>
              <w:bottom w:val="single" w:color="auto" w:sz="4" w:space="0"/>
              <w:right w:val="single" w:color="auto" w:sz="4" w:space="0"/>
            </w:tcBorders>
            <w:vAlign w:val="center"/>
          </w:tcPr>
          <w:p w14:paraId="1A9B36BF">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投标保证金</w:t>
            </w:r>
          </w:p>
        </w:tc>
        <w:tc>
          <w:tcPr>
            <w:tcW w:w="6885" w:type="dxa"/>
            <w:tcBorders>
              <w:top w:val="single" w:color="auto" w:sz="4" w:space="0"/>
              <w:left w:val="single" w:color="auto" w:sz="4" w:space="0"/>
              <w:bottom w:val="single" w:color="auto" w:sz="4" w:space="0"/>
              <w:right w:val="single" w:color="auto" w:sz="4" w:space="0"/>
            </w:tcBorders>
            <w:vAlign w:val="center"/>
          </w:tcPr>
          <w:p w14:paraId="25AF03FD">
            <w:pPr>
              <w:snapToGrid w:val="0"/>
              <w:spacing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无</w:t>
            </w:r>
          </w:p>
        </w:tc>
      </w:tr>
      <w:tr w14:paraId="41B41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31EAA7D3">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4.1.1</w:t>
            </w:r>
          </w:p>
        </w:tc>
        <w:tc>
          <w:tcPr>
            <w:tcW w:w="1950" w:type="dxa"/>
            <w:tcBorders>
              <w:top w:val="single" w:color="auto" w:sz="4" w:space="0"/>
              <w:left w:val="single" w:color="auto" w:sz="4" w:space="0"/>
              <w:bottom w:val="single" w:color="auto" w:sz="4" w:space="0"/>
              <w:right w:val="single" w:color="auto" w:sz="4" w:space="0"/>
            </w:tcBorders>
            <w:vAlign w:val="center"/>
          </w:tcPr>
          <w:p w14:paraId="7B8F4CF1">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投标文件的外包装和密封要求</w:t>
            </w:r>
          </w:p>
        </w:tc>
        <w:tc>
          <w:tcPr>
            <w:tcW w:w="6885" w:type="dxa"/>
            <w:tcBorders>
              <w:top w:val="single" w:color="auto" w:sz="4" w:space="0"/>
              <w:left w:val="single" w:color="auto" w:sz="4" w:space="0"/>
              <w:bottom w:val="single" w:color="auto" w:sz="4" w:space="0"/>
              <w:right w:val="single" w:color="auto" w:sz="4" w:space="0"/>
            </w:tcBorders>
            <w:vAlign w:val="center"/>
          </w:tcPr>
          <w:p w14:paraId="4F74B699">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投标文件密封在一个文件袋内并</w:t>
            </w:r>
            <w:r>
              <w:rPr>
                <w:rFonts w:hint="eastAsia" w:ascii="宋体" w:hAnsi="宋体" w:eastAsia="宋体" w:cs="宋体"/>
                <w:color w:val="000000" w:themeColor="text1"/>
                <w:sz w:val="22"/>
                <w:szCs w:val="22"/>
                <w:highlight w:val="none"/>
                <w14:textFill>
                  <w14:solidFill>
                    <w14:schemeClr w14:val="tx1"/>
                  </w14:solidFill>
                </w14:textFill>
              </w:rPr>
              <w:t>加贴封条，并在封套的封口处加盖投标人单位章。</w:t>
            </w:r>
          </w:p>
        </w:tc>
      </w:tr>
      <w:tr w14:paraId="1270D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7AD1AED0">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4.1.2</w:t>
            </w:r>
          </w:p>
        </w:tc>
        <w:tc>
          <w:tcPr>
            <w:tcW w:w="1950" w:type="dxa"/>
            <w:tcBorders>
              <w:top w:val="single" w:color="auto" w:sz="4" w:space="0"/>
              <w:left w:val="single" w:color="auto" w:sz="4" w:space="0"/>
              <w:bottom w:val="single" w:color="auto" w:sz="4" w:space="0"/>
              <w:right w:val="single" w:color="auto" w:sz="4" w:space="0"/>
            </w:tcBorders>
            <w:vAlign w:val="center"/>
          </w:tcPr>
          <w:p w14:paraId="664E0047">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封套上写明</w:t>
            </w:r>
          </w:p>
        </w:tc>
        <w:tc>
          <w:tcPr>
            <w:tcW w:w="6885" w:type="dxa"/>
            <w:tcBorders>
              <w:top w:val="single" w:color="auto" w:sz="4" w:space="0"/>
              <w:left w:val="single" w:color="auto" w:sz="4" w:space="0"/>
              <w:bottom w:val="single" w:color="auto" w:sz="4" w:space="0"/>
              <w:right w:val="single" w:color="auto" w:sz="4" w:space="0"/>
            </w:tcBorders>
            <w:vAlign w:val="center"/>
          </w:tcPr>
          <w:p w14:paraId="2563D836">
            <w:pPr>
              <w:adjustRightInd w:val="0"/>
              <w:snapToGrid w:val="0"/>
              <w:spacing w:line="340" w:lineRule="exact"/>
              <w:ind w:right="178" w:rightChars="85"/>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招标人名称：</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p>
          <w:p w14:paraId="4D2E8715">
            <w:pPr>
              <w:adjustRightInd w:val="0"/>
              <w:snapToGrid w:val="0"/>
              <w:spacing w:line="340" w:lineRule="exact"/>
              <w:ind w:right="178" w:rightChars="85"/>
              <w:rPr>
                <w:rFonts w:hint="eastAsia" w:ascii="宋体" w:hAnsi="宋体" w:eastAsia="宋体" w:cs="宋体"/>
                <w:color w:val="000000" w:themeColor="text1"/>
                <w:sz w:val="22"/>
                <w:szCs w:val="22"/>
                <w:highlight w:val="none"/>
                <w:u w:val="singl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项目名称：</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p>
          <w:p w14:paraId="4CEF122B">
            <w:pPr>
              <w:adjustRightInd w:val="0"/>
              <w:snapToGrid w:val="0"/>
              <w:spacing w:line="340" w:lineRule="exact"/>
              <w:ind w:right="178" w:rightChars="85"/>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投标人名称：</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p>
          <w:p w14:paraId="24D07081">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投标人地址：</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p>
          <w:p w14:paraId="5052AFBD">
            <w:pPr>
              <w:snapToGrid w:val="0"/>
              <w:spacing w:before="93" w:beforeLines="30" w:after="93" w:afterLines="30"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在</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时</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分前不得开启</w:t>
            </w:r>
          </w:p>
        </w:tc>
      </w:tr>
      <w:tr w14:paraId="1E44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D025725">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4.2.1</w:t>
            </w:r>
          </w:p>
        </w:tc>
        <w:tc>
          <w:tcPr>
            <w:tcW w:w="1950" w:type="dxa"/>
            <w:tcBorders>
              <w:top w:val="single" w:color="auto" w:sz="4" w:space="0"/>
              <w:left w:val="single" w:color="auto" w:sz="4" w:space="0"/>
              <w:bottom w:val="single" w:color="auto" w:sz="4" w:space="0"/>
              <w:right w:val="single" w:color="auto" w:sz="4" w:space="0"/>
            </w:tcBorders>
            <w:vAlign w:val="center"/>
          </w:tcPr>
          <w:p w14:paraId="78B41584">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投标截止时间</w:t>
            </w:r>
          </w:p>
        </w:tc>
        <w:tc>
          <w:tcPr>
            <w:tcW w:w="6885" w:type="dxa"/>
            <w:tcBorders>
              <w:top w:val="single" w:color="auto" w:sz="4" w:space="0"/>
              <w:left w:val="single" w:color="auto" w:sz="4" w:space="0"/>
              <w:bottom w:val="single" w:color="auto" w:sz="4" w:space="0"/>
              <w:right w:val="single" w:color="auto" w:sz="4" w:space="0"/>
            </w:tcBorders>
            <w:vAlign w:val="center"/>
          </w:tcPr>
          <w:p w14:paraId="6CA19078">
            <w:pPr>
              <w:snapToGrid w:val="0"/>
              <w:spacing w:before="93" w:beforeLines="30" w:after="93" w:afterLines="30"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时间：202</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24</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09</w:t>
            </w:r>
            <w:r>
              <w:rPr>
                <w:rFonts w:hint="eastAsia" w:ascii="宋体" w:hAnsi="宋体" w:eastAsia="宋体" w:cs="宋体"/>
                <w:color w:val="000000" w:themeColor="text1"/>
                <w:sz w:val="22"/>
                <w:szCs w:val="22"/>
                <w:highlight w:val="none"/>
                <w14:textFill>
                  <w14:solidFill>
                    <w14:schemeClr w14:val="tx1"/>
                  </w14:solidFill>
                </w14:textFill>
              </w:rPr>
              <w:t>时</w:t>
            </w:r>
            <w:r>
              <w:rPr>
                <w:rFonts w:hint="eastAsia" w:ascii="宋体" w:hAnsi="宋体" w:cs="宋体"/>
                <w:color w:val="000000" w:themeColor="text1"/>
                <w:sz w:val="22"/>
                <w:szCs w:val="22"/>
                <w:highlight w:val="none"/>
                <w:lang w:val="en-US" w:eastAsia="zh-CN"/>
                <w14:textFill>
                  <w14:solidFill>
                    <w14:schemeClr w14:val="tx1"/>
                  </w14:solidFill>
                </w14:textFill>
              </w:rPr>
              <w:t>30</w:t>
            </w:r>
            <w:r>
              <w:rPr>
                <w:rFonts w:hint="eastAsia" w:ascii="宋体" w:hAnsi="宋体" w:eastAsia="宋体" w:cs="宋体"/>
                <w:color w:val="000000" w:themeColor="text1"/>
                <w:sz w:val="22"/>
                <w:szCs w:val="22"/>
                <w:highlight w:val="none"/>
                <w:lang w:val="en-US" w:eastAsia="zh-CN"/>
                <w14:textFill>
                  <w14:solidFill>
                    <w14:schemeClr w14:val="tx1"/>
                  </w14:solidFill>
                </w14:textFill>
              </w:rPr>
              <w:t>分</w:t>
            </w:r>
            <w:r>
              <w:rPr>
                <w:rFonts w:hint="eastAsia" w:ascii="宋体" w:hAnsi="宋体" w:eastAsia="宋体" w:cs="宋体"/>
                <w:color w:val="000000" w:themeColor="text1"/>
                <w:sz w:val="22"/>
                <w:szCs w:val="22"/>
                <w:highlight w:val="none"/>
                <w14:textFill>
                  <w14:solidFill>
                    <w14:schemeClr w14:val="tx1"/>
                  </w14:solidFill>
                </w14:textFill>
              </w:rPr>
              <w:t>止</w:t>
            </w:r>
          </w:p>
        </w:tc>
      </w:tr>
      <w:tr w14:paraId="2424D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611C3604">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4.2.2</w:t>
            </w:r>
          </w:p>
        </w:tc>
        <w:tc>
          <w:tcPr>
            <w:tcW w:w="1950" w:type="dxa"/>
            <w:tcBorders>
              <w:top w:val="single" w:color="auto" w:sz="4" w:space="0"/>
              <w:left w:val="single" w:color="auto" w:sz="4" w:space="0"/>
              <w:bottom w:val="single" w:color="auto" w:sz="4" w:space="0"/>
              <w:right w:val="single" w:color="auto" w:sz="4" w:space="0"/>
            </w:tcBorders>
            <w:vAlign w:val="center"/>
          </w:tcPr>
          <w:p w14:paraId="2CF84048">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递交投标文件的地点</w:t>
            </w:r>
          </w:p>
        </w:tc>
        <w:tc>
          <w:tcPr>
            <w:tcW w:w="6885" w:type="dxa"/>
            <w:tcBorders>
              <w:top w:val="single" w:color="auto" w:sz="4" w:space="0"/>
              <w:left w:val="single" w:color="auto" w:sz="4" w:space="0"/>
              <w:bottom w:val="single" w:color="auto" w:sz="4" w:space="0"/>
              <w:right w:val="single" w:color="auto" w:sz="4" w:space="0"/>
            </w:tcBorders>
            <w:vAlign w:val="center"/>
          </w:tcPr>
          <w:p w14:paraId="043FD1FF">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龙游县水务集团有限公司一楼开标室</w:t>
            </w:r>
            <w:r>
              <w:rPr>
                <w:rFonts w:hint="eastAsia" w:ascii="宋体" w:hAnsi="宋体" w:eastAsia="宋体" w:cs="宋体"/>
                <w:color w:val="000000" w:themeColor="text1"/>
                <w:sz w:val="22"/>
                <w:szCs w:val="22"/>
                <w:highlight w:val="none"/>
                <w14:textFill>
                  <w14:solidFill>
                    <w14:schemeClr w14:val="tx1"/>
                  </w14:solidFill>
                </w14:textFill>
              </w:rPr>
              <w:t>（龙游县</w:t>
            </w:r>
            <w:r>
              <w:rPr>
                <w:rFonts w:hint="eastAsia" w:ascii="宋体" w:hAnsi="宋体" w:eastAsia="宋体" w:cs="宋体"/>
                <w:color w:val="000000" w:themeColor="text1"/>
                <w:sz w:val="22"/>
                <w:szCs w:val="22"/>
                <w:highlight w:val="none"/>
                <w:lang w:val="en-US" w:eastAsia="zh-CN"/>
                <w14:textFill>
                  <w14:solidFill>
                    <w14:schemeClr w14:val="tx1"/>
                  </w14:solidFill>
                </w14:textFill>
              </w:rPr>
              <w:t>荣昌东路35号</w:t>
            </w:r>
            <w:r>
              <w:rPr>
                <w:rFonts w:hint="eastAsia" w:ascii="宋体" w:hAnsi="宋体" w:eastAsia="宋体" w:cs="宋体"/>
                <w:color w:val="000000" w:themeColor="text1"/>
                <w:sz w:val="22"/>
                <w:szCs w:val="22"/>
                <w:highlight w:val="none"/>
                <w14:textFill>
                  <w14:solidFill>
                    <w14:schemeClr w14:val="tx1"/>
                  </w14:solidFill>
                </w14:textFill>
              </w:rPr>
              <w:t>）</w:t>
            </w:r>
          </w:p>
        </w:tc>
      </w:tr>
      <w:tr w14:paraId="39B13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36F27D6">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5.1</w:t>
            </w:r>
          </w:p>
        </w:tc>
        <w:tc>
          <w:tcPr>
            <w:tcW w:w="1950" w:type="dxa"/>
            <w:tcBorders>
              <w:top w:val="single" w:color="auto" w:sz="4" w:space="0"/>
              <w:left w:val="single" w:color="auto" w:sz="4" w:space="0"/>
              <w:bottom w:val="single" w:color="auto" w:sz="4" w:space="0"/>
              <w:right w:val="single" w:color="auto" w:sz="4" w:space="0"/>
            </w:tcBorders>
            <w:vAlign w:val="center"/>
          </w:tcPr>
          <w:p w14:paraId="154484B6">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开标</w:t>
            </w:r>
          </w:p>
        </w:tc>
        <w:tc>
          <w:tcPr>
            <w:tcW w:w="6885" w:type="dxa"/>
            <w:tcBorders>
              <w:top w:val="single" w:color="auto" w:sz="4" w:space="0"/>
              <w:left w:val="single" w:color="auto" w:sz="4" w:space="0"/>
              <w:bottom w:val="single" w:color="auto" w:sz="4" w:space="0"/>
              <w:right w:val="single" w:color="auto" w:sz="4" w:space="0"/>
            </w:tcBorders>
            <w:vAlign w:val="center"/>
          </w:tcPr>
          <w:p w14:paraId="40A96F1E">
            <w:pPr>
              <w:spacing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时间：202</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24</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09</w:t>
            </w:r>
            <w:r>
              <w:rPr>
                <w:rFonts w:hint="eastAsia" w:ascii="宋体" w:hAnsi="宋体" w:eastAsia="宋体" w:cs="宋体"/>
                <w:color w:val="000000" w:themeColor="text1"/>
                <w:sz w:val="22"/>
                <w:szCs w:val="22"/>
                <w:highlight w:val="none"/>
                <w14:textFill>
                  <w14:solidFill>
                    <w14:schemeClr w14:val="tx1"/>
                  </w14:solidFill>
                </w14:textFill>
              </w:rPr>
              <w:t>时</w:t>
            </w:r>
            <w:r>
              <w:rPr>
                <w:rFonts w:hint="eastAsia" w:ascii="宋体" w:hAnsi="宋体" w:cs="宋体"/>
                <w:color w:val="000000" w:themeColor="text1"/>
                <w:sz w:val="22"/>
                <w:szCs w:val="22"/>
                <w:highlight w:val="none"/>
                <w:lang w:val="en-US" w:eastAsia="zh-CN"/>
                <w14:textFill>
                  <w14:solidFill>
                    <w14:schemeClr w14:val="tx1"/>
                  </w14:solidFill>
                </w14:textFill>
              </w:rPr>
              <w:t>30</w:t>
            </w:r>
            <w:r>
              <w:rPr>
                <w:rFonts w:hint="eastAsia" w:ascii="宋体" w:hAnsi="宋体" w:eastAsia="宋体" w:cs="宋体"/>
                <w:color w:val="000000" w:themeColor="text1"/>
                <w:sz w:val="22"/>
                <w:szCs w:val="22"/>
                <w:highlight w:val="none"/>
                <w:lang w:val="en-US" w:eastAsia="zh-CN"/>
                <w14:textFill>
                  <w14:solidFill>
                    <w14:schemeClr w14:val="tx1"/>
                  </w14:solidFill>
                </w14:textFill>
              </w:rPr>
              <w:t>分</w:t>
            </w:r>
          </w:p>
          <w:p w14:paraId="001B35A2">
            <w:pPr>
              <w:adjustRightInd w:val="0"/>
              <w:snapToGrid w:val="0"/>
              <w:spacing w:line="340" w:lineRule="exact"/>
              <w:ind w:right="178" w:rightChars="85"/>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开标地点：</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龙游县水务集团有限公司一楼开标</w:t>
            </w:r>
            <w:r>
              <w:rPr>
                <w:rFonts w:hint="eastAsia" w:ascii="宋体" w:hAnsi="宋体" w:eastAsia="宋体" w:cs="宋体"/>
                <w:color w:val="000000" w:themeColor="text1"/>
                <w:sz w:val="22"/>
                <w:szCs w:val="22"/>
                <w:highlight w:val="none"/>
                <w:lang w:val="en-US" w:eastAsia="zh-CN"/>
                <w14:textFill>
                  <w14:solidFill>
                    <w14:schemeClr w14:val="tx1"/>
                  </w14:solidFill>
                </w14:textFill>
              </w:rPr>
              <w:t>室</w:t>
            </w:r>
            <w:r>
              <w:rPr>
                <w:rFonts w:hint="eastAsia" w:ascii="宋体" w:hAnsi="宋体" w:eastAsia="宋体" w:cs="宋体"/>
                <w:color w:val="000000" w:themeColor="text1"/>
                <w:sz w:val="22"/>
                <w:szCs w:val="22"/>
                <w:highlight w:val="none"/>
                <w14:textFill>
                  <w14:solidFill>
                    <w14:schemeClr w14:val="tx1"/>
                  </w14:solidFill>
                </w14:textFill>
              </w:rPr>
              <w:t>。</w:t>
            </w:r>
          </w:p>
          <w:p w14:paraId="52D37FE7">
            <w:pPr>
              <w:snapToGrid w:val="0"/>
              <w:spacing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注意：投标人的法定代表人或其委托代理人必须参加开标会议，并随带本人身份证件原件，委托代理人还需提供参加开标会议的授权委托书。</w:t>
            </w:r>
            <w:r>
              <w:rPr>
                <w:rFonts w:hint="eastAsia" w:ascii="宋体" w:hAnsi="宋体" w:eastAsia="宋体" w:cs="宋体"/>
                <w:color w:val="000000" w:themeColor="text1"/>
                <w:sz w:val="22"/>
                <w:szCs w:val="22"/>
                <w:highlight w:val="none"/>
                <w:lang w:val="en-US" w:eastAsia="zh-CN"/>
                <w14:textFill>
                  <w14:solidFill>
                    <w14:schemeClr w14:val="tx1"/>
                  </w14:solidFill>
                </w14:textFill>
              </w:rPr>
              <w:t>投标人的法定代表人或</w:t>
            </w:r>
            <w:r>
              <w:rPr>
                <w:rFonts w:hint="eastAsia" w:ascii="宋体" w:hAnsi="宋体" w:eastAsia="宋体" w:cs="宋体"/>
                <w:color w:val="000000" w:themeColor="text1"/>
                <w:sz w:val="22"/>
                <w:szCs w:val="22"/>
                <w:highlight w:val="none"/>
                <w14:textFill>
                  <w14:solidFill>
                    <w14:schemeClr w14:val="tx1"/>
                  </w14:solidFill>
                </w14:textFill>
              </w:rPr>
              <w:t>其委托代理人</w:t>
            </w:r>
            <w:r>
              <w:rPr>
                <w:rFonts w:hint="eastAsia" w:ascii="宋体" w:hAnsi="宋体" w:eastAsia="宋体" w:cs="宋体"/>
                <w:color w:val="000000" w:themeColor="text1"/>
                <w:sz w:val="22"/>
                <w:szCs w:val="22"/>
                <w:highlight w:val="none"/>
                <w:lang w:val="en-US" w:eastAsia="zh-CN"/>
                <w14:textFill>
                  <w14:solidFill>
                    <w14:schemeClr w14:val="tx1"/>
                  </w14:solidFill>
                </w14:textFill>
              </w:rPr>
              <w:t>或项目负责人进行答辩的，需随带本人身份证原件。</w:t>
            </w:r>
          </w:p>
        </w:tc>
      </w:tr>
      <w:tr w14:paraId="26523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2181DEB7">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6.1.1</w:t>
            </w:r>
          </w:p>
        </w:tc>
        <w:tc>
          <w:tcPr>
            <w:tcW w:w="1950" w:type="dxa"/>
            <w:tcBorders>
              <w:top w:val="single" w:color="auto" w:sz="4" w:space="0"/>
              <w:left w:val="single" w:color="auto" w:sz="4" w:space="0"/>
              <w:bottom w:val="single" w:color="auto" w:sz="4" w:space="0"/>
              <w:right w:val="single" w:color="auto" w:sz="4" w:space="0"/>
            </w:tcBorders>
            <w:vAlign w:val="center"/>
          </w:tcPr>
          <w:p w14:paraId="2D189F13">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评标委员会的组建</w:t>
            </w:r>
          </w:p>
        </w:tc>
        <w:tc>
          <w:tcPr>
            <w:tcW w:w="6885" w:type="dxa"/>
            <w:tcBorders>
              <w:top w:val="single" w:color="auto" w:sz="4" w:space="0"/>
              <w:left w:val="single" w:color="auto" w:sz="4" w:space="0"/>
              <w:bottom w:val="single" w:color="auto" w:sz="4" w:space="0"/>
              <w:right w:val="single" w:color="auto" w:sz="4" w:space="0"/>
            </w:tcBorders>
            <w:vAlign w:val="center"/>
          </w:tcPr>
          <w:p w14:paraId="4A4057FC">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评标委员会成员构成：共</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人（</w:t>
            </w:r>
            <w:r>
              <w:rPr>
                <w:rFonts w:hint="eastAsia" w:ascii="宋体" w:hAnsi="宋体" w:eastAsia="宋体" w:cs="宋体"/>
                <w:iCs/>
                <w:color w:val="000000" w:themeColor="text1"/>
                <w:sz w:val="22"/>
                <w:szCs w:val="22"/>
                <w:highlight w:val="none"/>
                <w:lang w:val="en-US" w:eastAsia="zh-CN"/>
                <w14:textFill>
                  <w14:solidFill>
                    <w14:schemeClr w14:val="tx1"/>
                  </w14:solidFill>
                </w14:textFill>
              </w:rPr>
              <w:t>5</w:t>
            </w:r>
            <w:r>
              <w:rPr>
                <w:rFonts w:hint="eastAsia" w:ascii="宋体" w:hAnsi="宋体" w:eastAsia="宋体" w:cs="宋体"/>
                <w:iCs/>
                <w:color w:val="000000" w:themeColor="text1"/>
                <w:sz w:val="22"/>
                <w:szCs w:val="22"/>
                <w:highlight w:val="none"/>
                <w14:textFill>
                  <w14:solidFill>
                    <w14:schemeClr w14:val="tx1"/>
                  </w14:solidFill>
                </w14:textFill>
              </w:rPr>
              <w:t>人及以上单数）</w:t>
            </w:r>
            <w:r>
              <w:rPr>
                <w:rFonts w:hint="eastAsia" w:ascii="宋体" w:hAnsi="宋体" w:eastAsia="宋体" w:cs="宋体"/>
                <w:color w:val="000000" w:themeColor="text1"/>
                <w:sz w:val="22"/>
                <w:szCs w:val="22"/>
                <w:highlight w:val="none"/>
                <w14:textFill>
                  <w14:solidFill>
                    <w14:schemeClr w14:val="tx1"/>
                  </w14:solidFill>
                </w14:textFill>
              </w:rPr>
              <w:t>。</w:t>
            </w:r>
          </w:p>
          <w:p w14:paraId="093270F6">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评标专家确定方式：按规定组建。</w:t>
            </w:r>
          </w:p>
        </w:tc>
      </w:tr>
      <w:tr w14:paraId="5D664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2164562">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6.3</w:t>
            </w:r>
          </w:p>
        </w:tc>
        <w:tc>
          <w:tcPr>
            <w:tcW w:w="1950" w:type="dxa"/>
            <w:tcBorders>
              <w:top w:val="single" w:color="auto" w:sz="4" w:space="0"/>
              <w:left w:val="single" w:color="auto" w:sz="4" w:space="0"/>
              <w:bottom w:val="single" w:color="auto" w:sz="4" w:space="0"/>
              <w:right w:val="single" w:color="auto" w:sz="4" w:space="0"/>
            </w:tcBorders>
            <w:vAlign w:val="center"/>
          </w:tcPr>
          <w:p w14:paraId="673EE212">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评标方法</w:t>
            </w:r>
          </w:p>
        </w:tc>
        <w:tc>
          <w:tcPr>
            <w:tcW w:w="6885" w:type="dxa"/>
            <w:tcBorders>
              <w:top w:val="single" w:color="auto" w:sz="4" w:space="0"/>
              <w:left w:val="single" w:color="auto" w:sz="4" w:space="0"/>
              <w:bottom w:val="single" w:color="auto" w:sz="4" w:space="0"/>
              <w:right w:val="single" w:color="auto" w:sz="4" w:space="0"/>
            </w:tcBorders>
            <w:vAlign w:val="center"/>
          </w:tcPr>
          <w:p w14:paraId="23E5C844">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综合评估法</w:t>
            </w:r>
          </w:p>
        </w:tc>
      </w:tr>
      <w:tr w14:paraId="026B7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34CCDCEC">
            <w:pPr>
              <w:snapToGrid w:val="0"/>
              <w:spacing w:before="93" w:beforeLines="30" w:after="93" w:afterLines="30" w:line="370" w:lineRule="exact"/>
              <w:jc w:val="center"/>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7.1</w:t>
            </w:r>
          </w:p>
        </w:tc>
        <w:tc>
          <w:tcPr>
            <w:tcW w:w="1950" w:type="dxa"/>
            <w:tcBorders>
              <w:top w:val="single" w:color="auto" w:sz="4" w:space="0"/>
              <w:left w:val="single" w:color="auto" w:sz="4" w:space="0"/>
              <w:bottom w:val="single" w:color="auto" w:sz="4" w:space="0"/>
              <w:right w:val="single" w:color="auto" w:sz="4" w:space="0"/>
            </w:tcBorders>
            <w:vAlign w:val="center"/>
          </w:tcPr>
          <w:p w14:paraId="3D0B9A5C">
            <w:pPr>
              <w:snapToGrid w:val="0"/>
              <w:spacing w:line="37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中标候选人</w:t>
            </w:r>
          </w:p>
        </w:tc>
        <w:tc>
          <w:tcPr>
            <w:tcW w:w="6885" w:type="dxa"/>
            <w:tcBorders>
              <w:top w:val="single" w:color="auto" w:sz="4" w:space="0"/>
              <w:left w:val="single" w:color="auto" w:sz="4" w:space="0"/>
              <w:bottom w:val="single" w:color="auto" w:sz="4" w:space="0"/>
              <w:right w:val="single" w:color="auto" w:sz="4" w:space="0"/>
            </w:tcBorders>
            <w:vAlign w:val="center"/>
          </w:tcPr>
          <w:p w14:paraId="7CF24B7B">
            <w:pPr>
              <w:snapToGrid w:val="0"/>
              <w:spacing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每个片区中标候选人1家，投标人不能重复中标，如已在其它片区是第1中标候选人的，将自动退出后续片区的评审，以此类推。</w:t>
            </w:r>
          </w:p>
        </w:tc>
      </w:tr>
      <w:tr w14:paraId="2ABD3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23ABBB36">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7.4.1</w:t>
            </w:r>
          </w:p>
        </w:tc>
        <w:tc>
          <w:tcPr>
            <w:tcW w:w="1950" w:type="dxa"/>
            <w:tcBorders>
              <w:top w:val="single" w:color="auto" w:sz="4" w:space="0"/>
              <w:left w:val="single" w:color="auto" w:sz="4" w:space="0"/>
              <w:bottom w:val="single" w:color="auto" w:sz="4" w:space="0"/>
              <w:right w:val="single" w:color="auto" w:sz="4" w:space="0"/>
            </w:tcBorders>
            <w:vAlign w:val="center"/>
          </w:tcPr>
          <w:p w14:paraId="352B5CB5">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履约担保</w:t>
            </w:r>
          </w:p>
        </w:tc>
        <w:tc>
          <w:tcPr>
            <w:tcW w:w="6885" w:type="dxa"/>
            <w:tcBorders>
              <w:top w:val="single" w:color="auto" w:sz="4" w:space="0"/>
              <w:left w:val="single" w:color="auto" w:sz="4" w:space="0"/>
              <w:bottom w:val="single" w:color="auto" w:sz="4" w:space="0"/>
              <w:right w:val="single" w:color="auto" w:sz="4" w:space="0"/>
            </w:tcBorders>
            <w:vAlign w:val="center"/>
          </w:tcPr>
          <w:p w14:paraId="1C694326">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不要求</w:t>
            </w:r>
          </w:p>
        </w:tc>
      </w:tr>
      <w:tr w14:paraId="683A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7DA7E7EC">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8.1</w:t>
            </w:r>
          </w:p>
        </w:tc>
        <w:tc>
          <w:tcPr>
            <w:tcW w:w="1950" w:type="dxa"/>
            <w:tcBorders>
              <w:top w:val="single" w:color="auto" w:sz="4" w:space="0"/>
              <w:left w:val="single" w:color="auto" w:sz="4" w:space="0"/>
              <w:bottom w:val="single" w:color="auto" w:sz="4" w:space="0"/>
              <w:right w:val="single" w:color="auto" w:sz="4" w:space="0"/>
            </w:tcBorders>
            <w:vAlign w:val="center"/>
          </w:tcPr>
          <w:p w14:paraId="0A1A2E26">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合同签订</w:t>
            </w:r>
          </w:p>
        </w:tc>
        <w:tc>
          <w:tcPr>
            <w:tcW w:w="6885" w:type="dxa"/>
            <w:tcBorders>
              <w:top w:val="single" w:color="auto" w:sz="4" w:space="0"/>
              <w:left w:val="single" w:color="auto" w:sz="4" w:space="0"/>
              <w:bottom w:val="single" w:color="auto" w:sz="4" w:space="0"/>
              <w:right w:val="single" w:color="auto" w:sz="4" w:space="0"/>
            </w:tcBorders>
            <w:vAlign w:val="center"/>
          </w:tcPr>
          <w:p w14:paraId="1E6B0640">
            <w:pPr>
              <w:snapToGrid w:val="0"/>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发出中标通知书起 </w:t>
            </w: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15 </w:t>
            </w:r>
            <w:r>
              <w:rPr>
                <w:rFonts w:hint="eastAsia" w:ascii="宋体" w:hAnsi="宋体" w:eastAsia="宋体" w:cs="宋体"/>
                <w:color w:val="000000" w:themeColor="text1"/>
                <w:sz w:val="22"/>
                <w:szCs w:val="22"/>
                <w:highlight w:val="none"/>
                <w14:textFill>
                  <w14:solidFill>
                    <w14:schemeClr w14:val="tx1"/>
                  </w14:solidFill>
                </w14:textFill>
              </w:rPr>
              <w:t>日内</w:t>
            </w:r>
          </w:p>
        </w:tc>
      </w:tr>
      <w:tr w14:paraId="1C293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096F5D77">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10.1</w:t>
            </w:r>
          </w:p>
        </w:tc>
        <w:tc>
          <w:tcPr>
            <w:tcW w:w="1950" w:type="dxa"/>
            <w:tcBorders>
              <w:top w:val="single" w:color="auto" w:sz="4" w:space="0"/>
              <w:left w:val="single" w:color="auto" w:sz="4" w:space="0"/>
              <w:bottom w:val="single" w:color="auto" w:sz="4" w:space="0"/>
              <w:right w:val="single" w:color="auto" w:sz="4" w:space="0"/>
            </w:tcBorders>
            <w:vAlign w:val="center"/>
          </w:tcPr>
          <w:p w14:paraId="5A11437D">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否决投标的情形</w:t>
            </w:r>
          </w:p>
        </w:tc>
        <w:tc>
          <w:tcPr>
            <w:tcW w:w="6885" w:type="dxa"/>
            <w:tcBorders>
              <w:top w:val="single" w:color="auto" w:sz="4" w:space="0"/>
              <w:left w:val="single" w:color="auto" w:sz="4" w:space="0"/>
              <w:bottom w:val="single" w:color="auto" w:sz="4" w:space="0"/>
              <w:right w:val="single" w:color="auto" w:sz="4" w:space="0"/>
            </w:tcBorders>
            <w:vAlign w:val="center"/>
          </w:tcPr>
          <w:p w14:paraId="4960B9EC">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投标文件存在以下情形之一的，由评标委员会审核，其投标文件将被否决：</w:t>
            </w:r>
          </w:p>
          <w:p w14:paraId="5688E9A1">
            <w:pPr>
              <w:snapToGrid w:val="0"/>
              <w:spacing w:line="340" w:lineRule="exact"/>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未按规定费率区间进行报价的。</w:t>
            </w:r>
          </w:p>
        </w:tc>
      </w:tr>
      <w:tr w14:paraId="37FB9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2E0615A7">
            <w:pPr>
              <w:snapToGrid w:val="0"/>
              <w:spacing w:before="93" w:beforeLines="30" w:after="93" w:afterLines="30" w:line="370" w:lineRule="exact"/>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10.2</w:t>
            </w:r>
          </w:p>
        </w:tc>
        <w:tc>
          <w:tcPr>
            <w:tcW w:w="1950" w:type="dxa"/>
            <w:tcBorders>
              <w:top w:val="single" w:color="auto" w:sz="4" w:space="0"/>
              <w:left w:val="single" w:color="auto" w:sz="4" w:space="0"/>
              <w:bottom w:val="single" w:color="auto" w:sz="4" w:space="0"/>
              <w:right w:val="single" w:color="auto" w:sz="4" w:space="0"/>
            </w:tcBorders>
            <w:vAlign w:val="center"/>
          </w:tcPr>
          <w:p w14:paraId="40A3B36B">
            <w:pPr>
              <w:snapToGrid w:val="0"/>
              <w:spacing w:line="37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异议与投诉</w:t>
            </w:r>
          </w:p>
        </w:tc>
        <w:tc>
          <w:tcPr>
            <w:tcW w:w="6885" w:type="dxa"/>
            <w:tcBorders>
              <w:top w:val="single" w:color="auto" w:sz="4" w:space="0"/>
              <w:left w:val="single" w:color="auto" w:sz="4" w:space="0"/>
              <w:bottom w:val="single" w:color="auto" w:sz="4" w:space="0"/>
              <w:right w:val="single" w:color="auto" w:sz="4" w:space="0"/>
            </w:tcBorders>
            <w:vAlign w:val="center"/>
          </w:tcPr>
          <w:p w14:paraId="1FB95F58">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（1）异议</w:t>
            </w:r>
          </w:p>
          <w:p w14:paraId="55A7C1CC">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①潜在投标人或者其他利害关系人对招标文件有异议的，应当在投标截止时间</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日前以书面形式向招标人或招标代理机构提出。招标人将在收到异议之日起3日内作出书面答复。</w:t>
            </w:r>
          </w:p>
          <w:p w14:paraId="4262FB4C">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②投标人认为开标不符合有关规定的，应当在开标现场提出异议。招标人将当场对异议给予处理或者告知处理的办法。异议和答复应记入开标记录或者制作专门记录以存档备查。</w:t>
            </w:r>
          </w:p>
          <w:p w14:paraId="636403A0">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③投标人及其他利害关系人对评标结果有异议的，应当在中标候选人公示期内以书面形式向招标人或招标代理机构提出。招标人将在收到异议之日起3日内作出书面答复；作出答复前，暂停招标投标活动。</w:t>
            </w:r>
          </w:p>
          <w:p w14:paraId="2D36F54B">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④对招标文件、评标结果的异议，提出和答复的形式应采用书面形式。</w:t>
            </w:r>
          </w:p>
          <w:p w14:paraId="75D1BAF5">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（2）投诉</w:t>
            </w:r>
          </w:p>
          <w:p w14:paraId="3D8001F5">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投标人或者其他利害关系人认为招标投标活动不符合法律、法规和规章规定的，可以自知道或者应当知道之日起10日内向</w:t>
            </w:r>
            <w:r>
              <w:rPr>
                <w:rFonts w:hint="eastAsia" w:ascii="宋体" w:hAnsi="宋体" w:eastAsia="宋体" w:cs="宋体"/>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sz w:val="22"/>
                <w:szCs w:val="22"/>
                <w:highlight w:val="none"/>
                <w14:textFill>
                  <w14:solidFill>
                    <w14:schemeClr w14:val="tx1"/>
                  </w14:solidFill>
                </w14:textFill>
              </w:rPr>
              <w:t>投诉。投诉应当有明确的请求和必要的证明资料。就招标文件、开标和评标结果投诉的，应当先向招标人提出异议。</w:t>
            </w:r>
          </w:p>
          <w:p w14:paraId="62A9CF36">
            <w:pPr>
              <w:spacing w:line="34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（3）上述时限最后一日如遇国家法定节假日的，顺延至法定节假日后的第一个工作日。</w:t>
            </w:r>
          </w:p>
        </w:tc>
      </w:tr>
      <w:tr w14:paraId="44D1B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5ED1FA19">
            <w:pPr>
              <w:snapToGrid w:val="0"/>
              <w:spacing w:before="93" w:beforeLines="30" w:after="93" w:afterLines="30" w:line="370" w:lineRule="exact"/>
              <w:jc w:val="center"/>
              <w:rPr>
                <w:rFonts w:hint="eastAsia" w:ascii="宋体" w:hAnsi="宋体" w:eastAsia="宋体" w:cs="宋体"/>
                <w:b/>
                <w:bCs/>
                <w:color w:val="000000" w:themeColor="text1"/>
                <w:sz w:val="22"/>
                <w:szCs w:val="22"/>
                <w:highlight w:val="none"/>
                <w:lang w:val="en-US" w:eastAsia="zh-CN"/>
                <w14:textFill>
                  <w14:solidFill>
                    <w14:schemeClr w14:val="tx1"/>
                  </w14:solidFill>
                </w14:textFill>
              </w:rPr>
            </w:pPr>
            <w:bookmarkStart w:id="18" w:name="_Toc51159560"/>
            <w:bookmarkStart w:id="19" w:name="_Toc11193"/>
            <w:bookmarkStart w:id="20" w:name="_Toc152042305"/>
            <w:bookmarkStart w:id="21" w:name="_Toc152045529"/>
            <w:bookmarkStart w:id="22" w:name="_Toc506120271"/>
            <w:bookmarkStart w:id="23" w:name="_Toc144974497"/>
            <w:bookmarkStart w:id="24" w:name="_Toc361338236"/>
            <w:r>
              <w:rPr>
                <w:rFonts w:hint="eastAsia" w:ascii="宋体" w:hAnsi="宋体" w:eastAsia="宋体" w:cs="宋体"/>
                <w:b/>
                <w:bCs/>
                <w:color w:val="000000" w:themeColor="text1"/>
                <w:sz w:val="22"/>
                <w:szCs w:val="22"/>
                <w:highlight w:val="none"/>
                <w:lang w:val="en-US" w:eastAsia="zh-CN"/>
                <w14:textFill>
                  <w14:solidFill>
                    <w14:schemeClr w14:val="tx1"/>
                  </w14:solidFill>
                </w14:textFill>
              </w:rPr>
              <w:t>10.3</w:t>
            </w:r>
          </w:p>
        </w:tc>
        <w:tc>
          <w:tcPr>
            <w:tcW w:w="1950" w:type="dxa"/>
            <w:tcBorders>
              <w:top w:val="single" w:color="auto" w:sz="4" w:space="0"/>
              <w:left w:val="single" w:color="auto" w:sz="4" w:space="0"/>
              <w:bottom w:val="single" w:color="auto" w:sz="4" w:space="0"/>
              <w:right w:val="single" w:color="auto" w:sz="4" w:space="0"/>
            </w:tcBorders>
            <w:vAlign w:val="center"/>
          </w:tcPr>
          <w:p w14:paraId="7E52B941">
            <w:pPr>
              <w:snapToGrid w:val="0"/>
              <w:spacing w:line="370" w:lineRule="exact"/>
              <w:jc w:val="center"/>
              <w:rPr>
                <w:rFonts w:hint="eastAsia"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val="en-US" w:eastAsia="zh-CN"/>
                <w14:textFill>
                  <w14:solidFill>
                    <w14:schemeClr w14:val="tx1"/>
                  </w14:solidFill>
                </w14:textFill>
              </w:rPr>
              <w:t>特别说明</w:t>
            </w:r>
          </w:p>
        </w:tc>
        <w:tc>
          <w:tcPr>
            <w:tcW w:w="6885" w:type="dxa"/>
            <w:tcBorders>
              <w:top w:val="single" w:color="auto" w:sz="4" w:space="0"/>
              <w:left w:val="single" w:color="auto" w:sz="4" w:space="0"/>
              <w:bottom w:val="single" w:color="auto" w:sz="4" w:space="0"/>
              <w:right w:val="single" w:color="auto" w:sz="4" w:space="0"/>
            </w:tcBorders>
            <w:vAlign w:val="center"/>
          </w:tcPr>
          <w:p w14:paraId="026E9CE4">
            <w:pPr>
              <w:spacing w:line="340" w:lineRule="exact"/>
              <w:rPr>
                <w:rFonts w:hint="eastAsia"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val="en-US" w:eastAsia="zh-CN"/>
                <w14:textFill>
                  <w14:solidFill>
                    <w14:schemeClr w14:val="tx1"/>
                  </w14:solidFill>
                </w14:textFill>
              </w:rPr>
              <w:t>本次招标范围为龙游华水水业发展有限公司、龙游农村供水发展有限公司所负责维护、运营的给水管网已入围企业进行片区划分招标。故本次招标仅参照政府性投资项目招标投标相关法律法规及规定，旨在于选择实力、资质、信誉等更强的专业分包队伍进行合作，如有不符合政府性投资项目招标投标相关要求的内容均以本招标文件为准。</w:t>
            </w:r>
          </w:p>
        </w:tc>
      </w:tr>
      <w:tr w14:paraId="5CB92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14:paraId="13B5D992">
            <w:pPr>
              <w:snapToGrid w:val="0"/>
              <w:spacing w:before="93" w:beforeLines="30" w:after="93" w:afterLines="30" w:line="370" w:lineRule="exact"/>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10.4</w:t>
            </w:r>
          </w:p>
        </w:tc>
        <w:tc>
          <w:tcPr>
            <w:tcW w:w="1950" w:type="dxa"/>
            <w:tcBorders>
              <w:top w:val="single" w:color="auto" w:sz="4" w:space="0"/>
              <w:left w:val="single" w:color="auto" w:sz="4" w:space="0"/>
              <w:bottom w:val="single" w:color="auto" w:sz="4" w:space="0"/>
              <w:right w:val="single" w:color="auto" w:sz="4" w:space="0"/>
            </w:tcBorders>
            <w:vAlign w:val="center"/>
          </w:tcPr>
          <w:p w14:paraId="7A8C63D5">
            <w:pPr>
              <w:snapToGrid w:val="0"/>
              <w:spacing w:line="370" w:lineRule="exact"/>
              <w:jc w:val="center"/>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其他</w:t>
            </w:r>
          </w:p>
        </w:tc>
        <w:tc>
          <w:tcPr>
            <w:tcW w:w="6885" w:type="dxa"/>
            <w:tcBorders>
              <w:top w:val="single" w:color="auto" w:sz="4" w:space="0"/>
              <w:left w:val="single" w:color="auto" w:sz="4" w:space="0"/>
              <w:bottom w:val="single" w:color="auto" w:sz="4" w:space="0"/>
              <w:right w:val="single" w:color="auto" w:sz="4" w:space="0"/>
            </w:tcBorders>
            <w:vAlign w:val="center"/>
          </w:tcPr>
          <w:p w14:paraId="53EB9D86">
            <w:pPr>
              <w:spacing w:line="340" w:lineRule="exact"/>
              <w:rPr>
                <w:rFonts w:hint="eastAsia"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eastAsia="宋体" w:cs="宋体"/>
                <w:b/>
                <w:bCs/>
                <w:color w:val="000000" w:themeColor="text1"/>
                <w:szCs w:val="21"/>
                <w:highlight w:val="none"/>
                <w:lang w:val="en-US" w:eastAsia="zh-CN"/>
                <w14:textFill>
                  <w14:solidFill>
                    <w14:schemeClr w14:val="tx1"/>
                  </w14:solidFill>
                </w14:textFill>
              </w:rPr>
              <w:t>本项目代理费用为4000元整，由八家单位均摊。在领取中标通知书前一次性支付至招标代理公司。</w:t>
            </w:r>
          </w:p>
        </w:tc>
      </w:tr>
    </w:tbl>
    <w:p w14:paraId="73816305">
      <w:pPr>
        <w:pStyle w:val="24"/>
        <w:ind w:firstLine="0" w:firstLineChars="0"/>
        <w:rPr>
          <w:rFonts w:hint="eastAsia" w:ascii="宋体" w:hAnsi="宋体" w:eastAsia="宋体" w:cs="宋体"/>
          <w:color w:val="000000" w:themeColor="text1"/>
          <w:highlight w:val="none"/>
          <w14:textFill>
            <w14:solidFill>
              <w14:schemeClr w14:val="tx1"/>
            </w14:solidFill>
          </w14:textFill>
        </w:rPr>
      </w:pPr>
    </w:p>
    <w:p w14:paraId="7817017F">
      <w:pPr>
        <w:pStyle w:val="22"/>
        <w:rPr>
          <w:rFonts w:hint="eastAsia" w:ascii="宋体" w:hAnsi="宋体" w:eastAsia="宋体" w:cs="宋体"/>
          <w:color w:val="000000" w:themeColor="text1"/>
          <w:highlight w:val="none"/>
          <w14:textFill>
            <w14:solidFill>
              <w14:schemeClr w14:val="tx1"/>
            </w14:solidFill>
          </w14:textFill>
        </w:rPr>
      </w:pPr>
      <w:bookmarkStart w:id="25" w:name="_Toc6450"/>
    </w:p>
    <w:p w14:paraId="57D21E7B">
      <w:pPr>
        <w:pStyle w:val="22"/>
        <w:rPr>
          <w:rFonts w:hint="eastAsia" w:ascii="宋体" w:hAnsi="宋体" w:eastAsia="宋体" w:cs="宋体"/>
          <w:color w:val="000000" w:themeColor="text1"/>
          <w:highlight w:val="none"/>
          <w14:textFill>
            <w14:solidFill>
              <w14:schemeClr w14:val="tx1"/>
            </w14:solidFill>
          </w14:textFill>
        </w:rPr>
      </w:pPr>
    </w:p>
    <w:p w14:paraId="301394C7">
      <w:pPr>
        <w:pStyle w:val="22"/>
        <w:rPr>
          <w:rFonts w:hint="eastAsia" w:ascii="宋体" w:hAnsi="宋体" w:eastAsia="宋体" w:cs="宋体"/>
          <w:color w:val="000000" w:themeColor="text1"/>
          <w:sz w:val="36"/>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投标人须知正文部分</w:t>
      </w:r>
      <w:bookmarkEnd w:id="18"/>
      <w:bookmarkEnd w:id="19"/>
      <w:bookmarkEnd w:id="25"/>
    </w:p>
    <w:p w14:paraId="1C1C08D7">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r>
        <w:rPr>
          <w:rFonts w:hint="eastAsia" w:ascii="宋体" w:hAnsi="宋体" w:eastAsia="宋体" w:cs="宋体"/>
          <w:b/>
          <w:color w:val="000000" w:themeColor="text1"/>
          <w:kern w:val="2"/>
          <w:szCs w:val="21"/>
          <w:highlight w:val="none"/>
          <w14:textFill>
            <w14:solidFill>
              <w14:schemeClr w14:val="tx1"/>
            </w14:solidFill>
          </w14:textFill>
        </w:rPr>
        <w:t>1. 总则</w:t>
      </w:r>
      <w:bookmarkEnd w:id="20"/>
      <w:bookmarkEnd w:id="21"/>
      <w:bookmarkEnd w:id="22"/>
      <w:bookmarkEnd w:id="23"/>
      <w:bookmarkEnd w:id="24"/>
    </w:p>
    <w:p w14:paraId="5B755004">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6" w:name="_Toc152045530"/>
      <w:bookmarkStart w:id="27" w:name="_Toc144974498"/>
      <w:bookmarkStart w:id="28" w:name="_Toc152042306"/>
      <w:bookmarkStart w:id="29" w:name="_Toc361338237"/>
      <w:bookmarkStart w:id="30" w:name="_Toc13933"/>
      <w:bookmarkStart w:id="31" w:name="_Toc506120391"/>
      <w:r>
        <w:rPr>
          <w:rFonts w:hint="eastAsia" w:ascii="宋体" w:hAnsi="宋体" w:eastAsia="宋体" w:cs="宋体"/>
          <w:b/>
          <w:color w:val="000000" w:themeColor="text1"/>
          <w:kern w:val="2"/>
          <w:szCs w:val="21"/>
          <w:highlight w:val="none"/>
          <w14:textFill>
            <w14:solidFill>
              <w14:schemeClr w14:val="tx1"/>
            </w14:solidFill>
          </w14:textFill>
        </w:rPr>
        <w:t xml:space="preserve">1.1 </w:t>
      </w:r>
      <w:bookmarkEnd w:id="26"/>
      <w:bookmarkEnd w:id="27"/>
      <w:bookmarkEnd w:id="28"/>
      <w:r>
        <w:rPr>
          <w:rFonts w:hint="eastAsia" w:ascii="宋体" w:hAnsi="宋体" w:eastAsia="宋体" w:cs="宋体"/>
          <w:b/>
          <w:color w:val="000000" w:themeColor="text1"/>
          <w:kern w:val="2"/>
          <w:szCs w:val="21"/>
          <w:highlight w:val="none"/>
          <w14:textFill>
            <w14:solidFill>
              <w14:schemeClr w14:val="tx1"/>
            </w14:solidFill>
          </w14:textFill>
        </w:rPr>
        <w:t>概述</w:t>
      </w:r>
      <w:bookmarkEnd w:id="29"/>
      <w:bookmarkEnd w:id="30"/>
      <w:bookmarkEnd w:id="31"/>
    </w:p>
    <w:p w14:paraId="28AF9FBF">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1.1.1</w:t>
      </w:r>
      <w:r>
        <w:rPr>
          <w:rFonts w:hint="eastAsia" w:ascii="宋体" w:hAnsi="宋体" w:eastAsia="宋体" w:cs="宋体"/>
          <w:color w:val="000000" w:themeColor="text1"/>
          <w:sz w:val="22"/>
          <w:szCs w:val="22"/>
          <w:highlight w:val="none"/>
          <w:lang w:val="en-US" w:eastAsia="zh-CN"/>
          <w14:textFill>
            <w14:solidFill>
              <w14:schemeClr w14:val="tx1"/>
            </w14:solidFill>
          </w14:textFill>
        </w:rPr>
        <w:t>参照</w:t>
      </w:r>
      <w:r>
        <w:rPr>
          <w:rFonts w:hint="eastAsia" w:ascii="宋体" w:hAnsi="宋体" w:eastAsia="宋体" w:cs="宋体"/>
          <w:color w:val="000000" w:themeColor="text1"/>
          <w:sz w:val="22"/>
          <w:szCs w:val="22"/>
          <w:highlight w:val="none"/>
          <w14:textFill>
            <w14:solidFill>
              <w14:schemeClr w14:val="tx1"/>
            </w14:solidFill>
          </w14:textFill>
        </w:rPr>
        <w:t>《中华人民共和国招标投标法》、《中华人民共和国招标投标法实施条例》等有关法律、法规和规章的规定，本项目已具备招标条件，现对本项目进行招标。</w:t>
      </w:r>
    </w:p>
    <w:p w14:paraId="19731F58">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1.1.2本项目招标人：见投标人须知前附表。</w:t>
      </w:r>
    </w:p>
    <w:p w14:paraId="7B9A7B2A">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1.1.3本项目招标代理机构：见投标人须知前附表。</w:t>
      </w:r>
    </w:p>
    <w:p w14:paraId="35DCD5A8">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1.1.4项目概况：见投标人须知前附表。</w:t>
      </w:r>
    </w:p>
    <w:p w14:paraId="01B78060">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32" w:name="_Toc152042307"/>
      <w:bookmarkStart w:id="33" w:name="_Toc361338238"/>
      <w:bookmarkStart w:id="34" w:name="_Toc7650"/>
      <w:bookmarkStart w:id="35" w:name="_Toc144974499"/>
      <w:bookmarkStart w:id="36" w:name="_Toc152045531"/>
      <w:bookmarkStart w:id="37" w:name="_Toc506120392"/>
      <w:r>
        <w:rPr>
          <w:rFonts w:hint="eastAsia" w:ascii="宋体" w:hAnsi="宋体" w:eastAsia="宋体" w:cs="宋体"/>
          <w:b/>
          <w:color w:val="000000" w:themeColor="text1"/>
          <w:kern w:val="2"/>
          <w:szCs w:val="21"/>
          <w:highlight w:val="none"/>
          <w14:textFill>
            <w14:solidFill>
              <w14:schemeClr w14:val="tx1"/>
            </w14:solidFill>
          </w14:textFill>
        </w:rPr>
        <w:t>1.2 资金来源和落实情况</w:t>
      </w:r>
      <w:bookmarkEnd w:id="32"/>
      <w:bookmarkEnd w:id="33"/>
      <w:bookmarkEnd w:id="34"/>
      <w:bookmarkEnd w:id="35"/>
      <w:bookmarkEnd w:id="36"/>
      <w:bookmarkEnd w:id="37"/>
    </w:p>
    <w:p w14:paraId="182A6C8F">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1.2.1 本招标项目的资金来源：见投标人须知前附表。</w:t>
      </w:r>
    </w:p>
    <w:p w14:paraId="4E741B1C">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1.2.2 本招标项目的出资比例：见投标人须知前附表。</w:t>
      </w:r>
    </w:p>
    <w:p w14:paraId="6FF268B8">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1.2.3 本招标项目的资金落实情况：见投标人须知前附表。</w:t>
      </w:r>
    </w:p>
    <w:p w14:paraId="05C03951">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38" w:name="_Toc152045532"/>
      <w:bookmarkStart w:id="39" w:name="_Toc152042308"/>
      <w:bookmarkStart w:id="40" w:name="_Toc144974500"/>
      <w:bookmarkStart w:id="41" w:name="_Toc361338239"/>
      <w:bookmarkStart w:id="42" w:name="_Toc1267"/>
      <w:bookmarkStart w:id="43" w:name="_Toc506120393"/>
      <w:r>
        <w:rPr>
          <w:rFonts w:hint="eastAsia" w:ascii="宋体" w:hAnsi="宋体" w:eastAsia="宋体" w:cs="宋体"/>
          <w:b/>
          <w:color w:val="000000" w:themeColor="text1"/>
          <w:kern w:val="2"/>
          <w:szCs w:val="21"/>
          <w:highlight w:val="none"/>
          <w14:textFill>
            <w14:solidFill>
              <w14:schemeClr w14:val="tx1"/>
            </w14:solidFill>
          </w14:textFill>
        </w:rPr>
        <w:t>1.3 服务范围和内容、</w:t>
      </w:r>
      <w:bookmarkEnd w:id="38"/>
      <w:bookmarkEnd w:id="39"/>
      <w:bookmarkEnd w:id="40"/>
      <w:r>
        <w:rPr>
          <w:rFonts w:hint="eastAsia" w:ascii="宋体" w:hAnsi="宋体" w:eastAsia="宋体" w:cs="宋体"/>
          <w:b/>
          <w:color w:val="000000" w:themeColor="text1"/>
          <w:kern w:val="2"/>
          <w:szCs w:val="21"/>
          <w:highlight w:val="none"/>
          <w14:textFill>
            <w14:solidFill>
              <w14:schemeClr w14:val="tx1"/>
            </w14:solidFill>
          </w14:textFill>
        </w:rPr>
        <w:t>服务期</w:t>
      </w:r>
      <w:bookmarkEnd w:id="41"/>
      <w:bookmarkEnd w:id="42"/>
      <w:bookmarkEnd w:id="43"/>
    </w:p>
    <w:p w14:paraId="32661F3A">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1.3.1服务范围和内容：见投标人须知前附表。</w:t>
      </w:r>
    </w:p>
    <w:p w14:paraId="154B7C8E">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1.3.2服务期：见投标人须知前附表。</w:t>
      </w:r>
    </w:p>
    <w:p w14:paraId="322B2A22">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44" w:name="_Toc506120394"/>
      <w:bookmarkStart w:id="45" w:name="_Toc5477"/>
      <w:r>
        <w:rPr>
          <w:rFonts w:hint="eastAsia" w:ascii="宋体" w:hAnsi="宋体" w:eastAsia="宋体" w:cs="宋体"/>
          <w:b/>
          <w:color w:val="000000" w:themeColor="text1"/>
          <w:kern w:val="2"/>
          <w:szCs w:val="21"/>
          <w:highlight w:val="none"/>
          <w14:textFill>
            <w14:solidFill>
              <w14:schemeClr w14:val="tx1"/>
            </w14:solidFill>
          </w14:textFill>
        </w:rPr>
        <w:t>1.4 投标人资格要求</w:t>
      </w:r>
      <w:bookmarkEnd w:id="44"/>
      <w:bookmarkEnd w:id="45"/>
    </w:p>
    <w:p w14:paraId="164C73F9">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1.4.1投标人应具备承担本标段的资格条件、要求：见投标人须知前附表。</w:t>
      </w:r>
    </w:p>
    <w:p w14:paraId="48BEF40F">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1.4.2投标人不得存在下列情形之一：</w:t>
      </w:r>
    </w:p>
    <w:p w14:paraId="69A4A0CA">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46" w:name="bookmark177"/>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46"/>
      <w:r>
        <w:rPr>
          <w:rFonts w:hint="eastAsia" w:ascii="宋体" w:hAnsi="宋体" w:eastAsia="宋体" w:cs="宋体"/>
          <w:color w:val="000000" w:themeColor="text1"/>
          <w:sz w:val="22"/>
          <w:szCs w:val="22"/>
          <w:highlight w:val="none"/>
          <w:lang w:eastAsia="zh-CN"/>
          <w14:textFill>
            <w14:solidFill>
              <w14:schemeClr w14:val="tx1"/>
            </w14:solidFill>
          </w14:textFill>
        </w:rPr>
        <w:t>1）为招标人不具有独立法人资格的附属机构（单位）；</w:t>
      </w:r>
    </w:p>
    <w:p w14:paraId="3AC01231">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47" w:name="bookmark178"/>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47"/>
      <w:r>
        <w:rPr>
          <w:rFonts w:hint="eastAsia" w:ascii="宋体" w:hAnsi="宋体" w:eastAsia="宋体" w:cs="宋体"/>
          <w:color w:val="000000" w:themeColor="text1"/>
          <w:sz w:val="22"/>
          <w:szCs w:val="22"/>
          <w:highlight w:val="none"/>
          <w:lang w:eastAsia="zh-CN"/>
          <w14:textFill>
            <w14:solidFill>
              <w14:schemeClr w14:val="tx1"/>
            </w14:solidFill>
          </w14:textFill>
        </w:rPr>
        <w:t>2）为与招标人存在利害关系可能影响招标公正性的法人、其他组织或者个人；</w:t>
      </w:r>
    </w:p>
    <w:p w14:paraId="55BACB38">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48" w:name="bookmark179"/>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48"/>
      <w:r>
        <w:rPr>
          <w:rFonts w:hint="eastAsia" w:ascii="宋体" w:hAnsi="宋体" w:eastAsia="宋体" w:cs="宋体"/>
          <w:color w:val="000000" w:themeColor="text1"/>
          <w:sz w:val="22"/>
          <w:szCs w:val="22"/>
          <w:highlight w:val="none"/>
          <w:lang w:eastAsia="zh-CN"/>
          <w14:textFill>
            <w14:solidFill>
              <w14:schemeClr w14:val="tx1"/>
            </w14:solidFill>
          </w14:textFill>
        </w:rPr>
        <w:t>3）不同投标人的单位负责人为同一人或者互相存在控股、管理关系的；</w:t>
      </w:r>
    </w:p>
    <w:p w14:paraId="73F22081">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49" w:name="bookmark180"/>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49"/>
      <w:r>
        <w:rPr>
          <w:rFonts w:hint="eastAsia" w:ascii="宋体" w:hAnsi="宋体" w:eastAsia="宋体" w:cs="宋体"/>
          <w:color w:val="000000" w:themeColor="text1"/>
          <w:sz w:val="22"/>
          <w:szCs w:val="22"/>
          <w:highlight w:val="none"/>
          <w:lang w:eastAsia="zh-CN"/>
          <w14:textFill>
            <w14:solidFill>
              <w14:schemeClr w14:val="tx1"/>
            </w14:solidFill>
          </w14:textFill>
        </w:rPr>
        <w:t>4）为本标段前期准备提供设计或咨询服务的；</w:t>
      </w:r>
    </w:p>
    <w:p w14:paraId="2AF97F42">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0" w:name="bookmark181"/>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0"/>
      <w:r>
        <w:rPr>
          <w:rFonts w:hint="eastAsia" w:ascii="宋体" w:hAnsi="宋体" w:eastAsia="宋体" w:cs="宋体"/>
          <w:color w:val="000000" w:themeColor="text1"/>
          <w:sz w:val="22"/>
          <w:szCs w:val="22"/>
          <w:highlight w:val="none"/>
          <w:lang w:eastAsia="zh-CN"/>
          <w14:textFill>
            <w14:solidFill>
              <w14:schemeClr w14:val="tx1"/>
            </w14:solidFill>
          </w14:textFill>
        </w:rPr>
        <w:t>5）为本标段的监理人；</w:t>
      </w:r>
    </w:p>
    <w:p w14:paraId="7F55CB43">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1" w:name="bookmark182"/>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1"/>
      <w:r>
        <w:rPr>
          <w:rFonts w:hint="eastAsia" w:ascii="宋体" w:hAnsi="宋体" w:eastAsia="宋体" w:cs="宋体"/>
          <w:color w:val="000000" w:themeColor="text1"/>
          <w:sz w:val="22"/>
          <w:szCs w:val="22"/>
          <w:highlight w:val="none"/>
          <w:lang w:eastAsia="zh-CN"/>
          <w14:textFill>
            <w14:solidFill>
              <w14:schemeClr w14:val="tx1"/>
            </w14:solidFill>
          </w14:textFill>
        </w:rPr>
        <w:t>6）为本标段的代建人；</w:t>
      </w:r>
    </w:p>
    <w:p w14:paraId="2211BC9D">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2" w:name="bookmark183"/>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2"/>
      <w:r>
        <w:rPr>
          <w:rFonts w:hint="eastAsia" w:ascii="宋体" w:hAnsi="宋体" w:eastAsia="宋体" w:cs="宋体"/>
          <w:color w:val="000000" w:themeColor="text1"/>
          <w:sz w:val="22"/>
          <w:szCs w:val="22"/>
          <w:highlight w:val="none"/>
          <w:lang w:eastAsia="zh-CN"/>
          <w14:textFill>
            <w14:solidFill>
              <w14:schemeClr w14:val="tx1"/>
            </w14:solidFill>
          </w14:textFill>
        </w:rPr>
        <w:t>7）为本标段提供招标代理服务的；</w:t>
      </w:r>
    </w:p>
    <w:p w14:paraId="55A09313">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3" w:name="bookmark184"/>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3"/>
      <w:r>
        <w:rPr>
          <w:rFonts w:hint="eastAsia" w:ascii="宋体" w:hAnsi="宋体" w:eastAsia="宋体" w:cs="宋体"/>
          <w:color w:val="000000" w:themeColor="text1"/>
          <w:sz w:val="22"/>
          <w:szCs w:val="22"/>
          <w:highlight w:val="none"/>
          <w:lang w:eastAsia="zh-CN"/>
          <w14:textFill>
            <w14:solidFill>
              <w14:schemeClr w14:val="tx1"/>
            </w14:solidFill>
          </w14:textFill>
        </w:rPr>
        <w:t>8）与本标段的监理人或代建人或招标代理机构同为一个法定代表人的；</w:t>
      </w:r>
    </w:p>
    <w:p w14:paraId="5A34A9E0">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4" w:name="bookmark185"/>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4"/>
      <w:r>
        <w:rPr>
          <w:rFonts w:hint="eastAsia" w:ascii="宋体" w:hAnsi="宋体" w:eastAsia="宋体" w:cs="宋体"/>
          <w:color w:val="000000" w:themeColor="text1"/>
          <w:sz w:val="22"/>
          <w:szCs w:val="22"/>
          <w:highlight w:val="none"/>
          <w:lang w:eastAsia="zh-CN"/>
          <w14:textFill>
            <w14:solidFill>
              <w14:schemeClr w14:val="tx1"/>
            </w14:solidFill>
          </w14:textFill>
        </w:rPr>
        <w:t>9）与本标段的监理人或代建人或招标代理机构相互控股或参股的；</w:t>
      </w:r>
    </w:p>
    <w:p w14:paraId="0A92FFB4">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5" w:name="bookmark186"/>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5"/>
      <w:r>
        <w:rPr>
          <w:rFonts w:hint="eastAsia" w:ascii="宋体" w:hAnsi="宋体" w:eastAsia="宋体" w:cs="宋体"/>
          <w:color w:val="000000" w:themeColor="text1"/>
          <w:sz w:val="22"/>
          <w:szCs w:val="22"/>
          <w:highlight w:val="none"/>
          <w:lang w:eastAsia="zh-CN"/>
          <w14:textFill>
            <w14:solidFill>
              <w14:schemeClr w14:val="tx1"/>
            </w14:solidFill>
          </w14:textFill>
        </w:rPr>
        <w:t>10）与本标段的监理人或代建人或招标代理机构相互任职或工作的；</w:t>
      </w:r>
    </w:p>
    <w:p w14:paraId="2E8B1DBE">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6" w:name="bookmark187"/>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6"/>
      <w:r>
        <w:rPr>
          <w:rFonts w:hint="eastAsia" w:ascii="宋体" w:hAnsi="宋体" w:eastAsia="宋体" w:cs="宋体"/>
          <w:color w:val="000000" w:themeColor="text1"/>
          <w:sz w:val="22"/>
          <w:szCs w:val="22"/>
          <w:highlight w:val="none"/>
          <w:lang w:eastAsia="zh-CN"/>
          <w14:textFill>
            <w14:solidFill>
              <w14:schemeClr w14:val="tx1"/>
            </w14:solidFill>
          </w14:textFill>
        </w:rPr>
        <w:t>11）被责令停产停业、暂扣或者吊销许可证、暂扣或者吊销执照；</w:t>
      </w:r>
    </w:p>
    <w:p w14:paraId="2BE464E9">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7" w:name="bookmark188"/>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7"/>
      <w:r>
        <w:rPr>
          <w:rFonts w:hint="eastAsia" w:ascii="宋体" w:hAnsi="宋体" w:eastAsia="宋体" w:cs="宋体"/>
          <w:color w:val="000000" w:themeColor="text1"/>
          <w:sz w:val="22"/>
          <w:szCs w:val="22"/>
          <w:highlight w:val="none"/>
          <w:lang w:eastAsia="zh-CN"/>
          <w14:textFill>
            <w14:solidFill>
              <w14:schemeClr w14:val="tx1"/>
            </w14:solidFill>
          </w14:textFill>
        </w:rPr>
        <w:t>12）进入清算程序，或被宣告破产；</w:t>
      </w:r>
    </w:p>
    <w:p w14:paraId="78B57DAF">
      <w:pPr>
        <w:pStyle w:val="61"/>
        <w:tabs>
          <w:tab w:val="left" w:pos="1131"/>
        </w:tabs>
        <w:spacing w:line="454" w:lineRule="exact"/>
        <w:ind w:firstLine="600"/>
        <w:rPr>
          <w:rFonts w:hint="eastAsia" w:ascii="宋体" w:hAnsi="宋体" w:eastAsia="宋体" w:cs="宋体"/>
          <w:color w:val="000000" w:themeColor="text1"/>
          <w:sz w:val="22"/>
          <w:szCs w:val="22"/>
          <w:highlight w:val="none"/>
          <w:lang w:eastAsia="zh-CN"/>
          <w14:textFill>
            <w14:solidFill>
              <w14:schemeClr w14:val="tx1"/>
            </w14:solidFill>
          </w14:textFill>
        </w:rPr>
      </w:pPr>
      <w:bookmarkStart w:id="58" w:name="bookmark189"/>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8"/>
      <w:r>
        <w:rPr>
          <w:rFonts w:hint="eastAsia" w:ascii="宋体" w:hAnsi="宋体" w:eastAsia="宋体" w:cs="宋体"/>
          <w:color w:val="000000" w:themeColor="text1"/>
          <w:sz w:val="22"/>
          <w:szCs w:val="22"/>
          <w:highlight w:val="none"/>
          <w:lang w:eastAsia="zh-CN"/>
          <w14:textFill>
            <w14:solidFill>
              <w14:schemeClr w14:val="tx1"/>
            </w14:solidFill>
          </w14:textFill>
        </w:rPr>
        <w:t>13）被依法暂停或取消投标资格的；</w:t>
      </w:r>
    </w:p>
    <w:p w14:paraId="38A77D0A">
      <w:pPr>
        <w:pStyle w:val="61"/>
        <w:tabs>
          <w:tab w:val="left" w:pos="1131"/>
        </w:tabs>
        <w:spacing w:line="454" w:lineRule="exact"/>
        <w:ind w:firstLine="600"/>
        <w:rPr>
          <w:rFonts w:hint="eastAsia" w:ascii="宋体" w:hAnsi="宋体" w:eastAsia="宋体" w:cs="宋体"/>
          <w:color w:val="000000" w:themeColor="text1"/>
          <w:highlight w:val="none"/>
          <w14:textFill>
            <w14:solidFill>
              <w14:schemeClr w14:val="tx1"/>
            </w14:solidFill>
          </w14:textFill>
        </w:rPr>
      </w:pPr>
      <w:bookmarkStart w:id="59" w:name="bookmark190"/>
      <w:r>
        <w:rPr>
          <w:rFonts w:hint="eastAsia" w:ascii="宋体" w:hAnsi="宋体" w:eastAsia="宋体" w:cs="宋体"/>
          <w:color w:val="000000" w:themeColor="text1"/>
          <w:sz w:val="22"/>
          <w:szCs w:val="22"/>
          <w:highlight w:val="none"/>
          <w:lang w:eastAsia="zh-CN"/>
          <w14:textFill>
            <w14:solidFill>
              <w14:schemeClr w14:val="tx1"/>
            </w14:solidFill>
          </w14:textFill>
        </w:rPr>
        <w:t>（</w:t>
      </w:r>
      <w:bookmarkEnd w:id="59"/>
      <w:r>
        <w:rPr>
          <w:rFonts w:hint="eastAsia" w:ascii="宋体" w:hAnsi="宋体" w:eastAsia="宋体" w:cs="宋体"/>
          <w:color w:val="000000" w:themeColor="text1"/>
          <w:sz w:val="22"/>
          <w:szCs w:val="22"/>
          <w:highlight w:val="none"/>
          <w:lang w:eastAsia="zh-CN"/>
          <w14:textFill>
            <w14:solidFill>
              <w14:schemeClr w14:val="tx1"/>
            </w14:solidFill>
          </w14:textFill>
        </w:rPr>
        <w:t>14）法律法规或投标人须知前附表规定的其他情形。</w:t>
      </w:r>
    </w:p>
    <w:p w14:paraId="54680B11">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60" w:name="_Toc506120395"/>
      <w:bookmarkStart w:id="61" w:name="_Toc31059"/>
      <w:r>
        <w:rPr>
          <w:rFonts w:hint="eastAsia" w:ascii="宋体" w:hAnsi="宋体" w:eastAsia="宋体" w:cs="宋体"/>
          <w:b/>
          <w:color w:val="000000" w:themeColor="text1"/>
          <w:kern w:val="2"/>
          <w:szCs w:val="21"/>
          <w:highlight w:val="none"/>
          <w14:textFill>
            <w14:solidFill>
              <w14:schemeClr w14:val="tx1"/>
            </w14:solidFill>
          </w14:textFill>
        </w:rPr>
        <w:t>1.5 费用承担</w:t>
      </w:r>
      <w:bookmarkEnd w:id="60"/>
      <w:bookmarkEnd w:id="61"/>
    </w:p>
    <w:p w14:paraId="57045C15">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投标人准备和参加投标活动发生的费用自理。</w:t>
      </w:r>
    </w:p>
    <w:p w14:paraId="36D3F85A">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62" w:name="_Toc152045536"/>
      <w:bookmarkStart w:id="63" w:name="_Toc361338242"/>
      <w:bookmarkStart w:id="64" w:name="_Toc152042312"/>
      <w:bookmarkStart w:id="65" w:name="_Toc144974504"/>
      <w:bookmarkStart w:id="66" w:name="_Toc506120396"/>
      <w:bookmarkStart w:id="67" w:name="_Toc6953"/>
      <w:r>
        <w:rPr>
          <w:rFonts w:hint="eastAsia" w:ascii="宋体" w:hAnsi="宋体" w:eastAsia="宋体" w:cs="宋体"/>
          <w:b/>
          <w:color w:val="000000" w:themeColor="text1"/>
          <w:kern w:val="2"/>
          <w:szCs w:val="21"/>
          <w:highlight w:val="none"/>
          <w14:textFill>
            <w14:solidFill>
              <w14:schemeClr w14:val="tx1"/>
            </w14:solidFill>
          </w14:textFill>
        </w:rPr>
        <w:t>1.6 保密</w:t>
      </w:r>
      <w:bookmarkEnd w:id="62"/>
      <w:bookmarkEnd w:id="63"/>
      <w:bookmarkEnd w:id="64"/>
      <w:bookmarkEnd w:id="65"/>
      <w:bookmarkEnd w:id="66"/>
      <w:bookmarkEnd w:id="67"/>
    </w:p>
    <w:p w14:paraId="104B880B">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参与招标投标活动的各方应对招标文件和投标文件中的商业和技术等秘密保密，违者应对由此造成的后果承担法律责任。</w:t>
      </w:r>
    </w:p>
    <w:p w14:paraId="45B1F96D">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68" w:name="_Toc144974505"/>
      <w:bookmarkStart w:id="69" w:name="_Toc152042313"/>
      <w:bookmarkStart w:id="70" w:name="_Toc152045537"/>
      <w:bookmarkStart w:id="71" w:name="_Toc25713"/>
      <w:bookmarkStart w:id="72" w:name="_Toc361338243"/>
      <w:bookmarkStart w:id="73" w:name="_Toc506120397"/>
      <w:r>
        <w:rPr>
          <w:rFonts w:hint="eastAsia" w:ascii="宋体" w:hAnsi="宋体" w:eastAsia="宋体" w:cs="宋体"/>
          <w:b/>
          <w:color w:val="000000" w:themeColor="text1"/>
          <w:kern w:val="2"/>
          <w:szCs w:val="21"/>
          <w:highlight w:val="none"/>
          <w14:textFill>
            <w14:solidFill>
              <w14:schemeClr w14:val="tx1"/>
            </w14:solidFill>
          </w14:textFill>
        </w:rPr>
        <w:t>1.7 语言</w:t>
      </w:r>
      <w:bookmarkEnd w:id="68"/>
      <w:r>
        <w:rPr>
          <w:rFonts w:hint="eastAsia" w:ascii="宋体" w:hAnsi="宋体" w:eastAsia="宋体" w:cs="宋体"/>
          <w:b/>
          <w:color w:val="000000" w:themeColor="text1"/>
          <w:kern w:val="2"/>
          <w:szCs w:val="21"/>
          <w:highlight w:val="none"/>
          <w14:textFill>
            <w14:solidFill>
              <w14:schemeClr w14:val="tx1"/>
            </w14:solidFill>
          </w14:textFill>
        </w:rPr>
        <w:t>文字</w:t>
      </w:r>
      <w:bookmarkEnd w:id="69"/>
      <w:bookmarkEnd w:id="70"/>
      <w:bookmarkEnd w:id="71"/>
      <w:bookmarkEnd w:id="72"/>
      <w:bookmarkEnd w:id="73"/>
    </w:p>
    <w:p w14:paraId="1F26098B">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除专用术语外，与招标投标有关的语言均使用中文。必要时专用术语应附有中文注释。</w:t>
      </w:r>
    </w:p>
    <w:p w14:paraId="344AC08C">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74" w:name="_Toc29997"/>
      <w:bookmarkStart w:id="75" w:name="_Toc152045538"/>
      <w:bookmarkStart w:id="76" w:name="_Toc506120398"/>
      <w:bookmarkStart w:id="77" w:name="_Toc144974506"/>
      <w:bookmarkStart w:id="78" w:name="_Toc361338244"/>
      <w:bookmarkStart w:id="79" w:name="_Toc152042314"/>
      <w:r>
        <w:rPr>
          <w:rFonts w:hint="eastAsia" w:ascii="宋体" w:hAnsi="宋体" w:eastAsia="宋体" w:cs="宋体"/>
          <w:b/>
          <w:color w:val="000000" w:themeColor="text1"/>
          <w:kern w:val="2"/>
          <w:szCs w:val="21"/>
          <w:highlight w:val="none"/>
          <w14:textFill>
            <w14:solidFill>
              <w14:schemeClr w14:val="tx1"/>
            </w14:solidFill>
          </w14:textFill>
        </w:rPr>
        <w:t>1.8 计量单位</w:t>
      </w:r>
      <w:bookmarkEnd w:id="74"/>
      <w:bookmarkEnd w:id="75"/>
      <w:bookmarkEnd w:id="76"/>
      <w:bookmarkEnd w:id="77"/>
      <w:bookmarkEnd w:id="78"/>
      <w:bookmarkEnd w:id="79"/>
    </w:p>
    <w:p w14:paraId="42727EDA">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所有计量均采用中华人民共和国法定计量单位。</w:t>
      </w:r>
    </w:p>
    <w:p w14:paraId="110CB699">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80" w:name="_Toc21104"/>
      <w:bookmarkStart w:id="81" w:name="_Toc361338245"/>
      <w:bookmarkStart w:id="82" w:name="_Toc506120399"/>
      <w:r>
        <w:rPr>
          <w:rFonts w:hint="eastAsia" w:ascii="宋体" w:hAnsi="宋体" w:eastAsia="宋体" w:cs="宋体"/>
          <w:b/>
          <w:color w:val="000000" w:themeColor="text1"/>
          <w:kern w:val="2"/>
          <w:szCs w:val="21"/>
          <w:highlight w:val="none"/>
          <w14:textFill>
            <w14:solidFill>
              <w14:schemeClr w14:val="tx1"/>
            </w14:solidFill>
          </w14:textFill>
        </w:rPr>
        <w:t>1.9 计价货币</w:t>
      </w:r>
      <w:bookmarkEnd w:id="80"/>
      <w:bookmarkEnd w:id="81"/>
      <w:bookmarkEnd w:id="82"/>
    </w:p>
    <w:p w14:paraId="20B524E4">
      <w:pPr>
        <w:wordWrap w:val="0"/>
        <w:snapToGrid w:val="0"/>
        <w:spacing w:line="450" w:lineRule="exact"/>
        <w:ind w:firstLine="480"/>
        <w:rPr>
          <w:rFonts w:hint="eastAsia" w:ascii="宋体" w:hAnsi="宋体" w:eastAsia="宋体" w:cs="宋体"/>
          <w:color w:val="000000" w:themeColor="text1"/>
          <w:highlight w:val="none"/>
          <w14:textFill>
            <w14:solidFill>
              <w14:schemeClr w14:val="tx1"/>
            </w14:solidFill>
          </w14:textFill>
        </w:rPr>
      </w:pPr>
      <w:bookmarkStart w:id="83" w:name="_Toc361281490"/>
      <w:r>
        <w:rPr>
          <w:rFonts w:hint="eastAsia" w:ascii="宋体" w:hAnsi="宋体" w:eastAsia="宋体" w:cs="宋体"/>
          <w:color w:val="000000" w:themeColor="text1"/>
          <w:sz w:val="22"/>
          <w:szCs w:val="22"/>
          <w:highlight w:val="none"/>
          <w14:textFill>
            <w14:solidFill>
              <w14:schemeClr w14:val="tx1"/>
            </w14:solidFill>
          </w14:textFill>
        </w:rPr>
        <w:t>本项目招标投标涉及计价货币的，均为人民币。</w:t>
      </w:r>
      <w:bookmarkEnd w:id="83"/>
    </w:p>
    <w:p w14:paraId="235E4BA4">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84" w:name="_Toc506120400"/>
      <w:bookmarkStart w:id="85" w:name="_Toc19637"/>
      <w:bookmarkStart w:id="86" w:name="_Toc152045539"/>
      <w:bookmarkStart w:id="87" w:name="_Toc144974507"/>
      <w:bookmarkStart w:id="88" w:name="_Toc361338246"/>
      <w:bookmarkStart w:id="89" w:name="_Toc152042315"/>
      <w:r>
        <w:rPr>
          <w:rFonts w:hint="eastAsia" w:ascii="宋体" w:hAnsi="宋体" w:eastAsia="宋体" w:cs="宋体"/>
          <w:b/>
          <w:color w:val="000000" w:themeColor="text1"/>
          <w:kern w:val="2"/>
          <w:szCs w:val="21"/>
          <w:highlight w:val="none"/>
          <w14:textFill>
            <w14:solidFill>
              <w14:schemeClr w14:val="tx1"/>
            </w14:solidFill>
          </w14:textFill>
        </w:rPr>
        <w:t>1.10 踏勘现场</w:t>
      </w:r>
      <w:bookmarkEnd w:id="84"/>
      <w:bookmarkEnd w:id="85"/>
      <w:bookmarkEnd w:id="86"/>
      <w:bookmarkEnd w:id="87"/>
      <w:bookmarkEnd w:id="88"/>
      <w:bookmarkEnd w:id="89"/>
    </w:p>
    <w:p w14:paraId="13F12908">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不组织。</w:t>
      </w:r>
    </w:p>
    <w:p w14:paraId="0956F941">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90" w:name="_Toc152045540"/>
      <w:bookmarkStart w:id="91" w:name="_Toc361338247"/>
      <w:bookmarkStart w:id="92" w:name="_Toc9830"/>
      <w:bookmarkStart w:id="93" w:name="_Toc144974508"/>
      <w:bookmarkStart w:id="94" w:name="_Toc506120401"/>
      <w:bookmarkStart w:id="95" w:name="_Toc152042316"/>
      <w:r>
        <w:rPr>
          <w:rFonts w:hint="eastAsia" w:ascii="宋体" w:hAnsi="宋体" w:eastAsia="宋体" w:cs="宋体"/>
          <w:b/>
          <w:color w:val="000000" w:themeColor="text1"/>
          <w:kern w:val="2"/>
          <w:szCs w:val="21"/>
          <w:highlight w:val="none"/>
          <w14:textFill>
            <w14:solidFill>
              <w14:schemeClr w14:val="tx1"/>
            </w14:solidFill>
          </w14:textFill>
        </w:rPr>
        <w:t>1.11</w:t>
      </w:r>
      <w:r>
        <w:rPr>
          <w:rFonts w:hint="eastAsia" w:ascii="宋体" w:hAnsi="宋体" w:eastAsia="宋体" w:cs="宋体"/>
          <w:b/>
          <w:color w:val="000000" w:themeColor="text1"/>
          <w:kern w:val="2"/>
          <w:szCs w:val="21"/>
          <w:highlight w:val="none"/>
          <w:lang w:val="en-US" w:eastAsia="zh-CN"/>
          <w14:textFill>
            <w14:solidFill>
              <w14:schemeClr w14:val="tx1"/>
            </w14:solidFill>
          </w14:textFill>
        </w:rPr>
        <w:t xml:space="preserve"> </w:t>
      </w:r>
      <w:r>
        <w:rPr>
          <w:rFonts w:hint="eastAsia" w:ascii="宋体" w:hAnsi="宋体" w:eastAsia="宋体" w:cs="宋体"/>
          <w:b/>
          <w:color w:val="000000" w:themeColor="text1"/>
          <w:kern w:val="2"/>
          <w:szCs w:val="21"/>
          <w:highlight w:val="none"/>
          <w14:textFill>
            <w14:solidFill>
              <w14:schemeClr w14:val="tx1"/>
            </w14:solidFill>
          </w14:textFill>
        </w:rPr>
        <w:t>投标预备会</w:t>
      </w:r>
      <w:bookmarkEnd w:id="90"/>
      <w:bookmarkEnd w:id="91"/>
      <w:bookmarkEnd w:id="92"/>
      <w:bookmarkEnd w:id="93"/>
      <w:bookmarkEnd w:id="94"/>
      <w:bookmarkEnd w:id="95"/>
    </w:p>
    <w:p w14:paraId="54326EFA">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不召开。</w:t>
      </w:r>
    </w:p>
    <w:p w14:paraId="62F6D526">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96" w:name="_Toc152042318"/>
      <w:bookmarkStart w:id="97" w:name="_Toc144974510"/>
      <w:bookmarkStart w:id="98" w:name="_Toc152045542"/>
      <w:bookmarkStart w:id="99" w:name="_Toc361338249"/>
      <w:r>
        <w:rPr>
          <w:rFonts w:hint="eastAsia" w:ascii="宋体" w:hAnsi="宋体" w:eastAsia="宋体" w:cs="宋体"/>
          <w:b/>
          <w:color w:val="000000" w:themeColor="text1"/>
          <w:kern w:val="2"/>
          <w:szCs w:val="21"/>
          <w:highlight w:val="none"/>
          <w14:textFill>
            <w14:solidFill>
              <w14:schemeClr w14:val="tx1"/>
            </w14:solidFill>
          </w14:textFill>
        </w:rPr>
        <w:t>2. 招标文件</w:t>
      </w:r>
      <w:bookmarkEnd w:id="96"/>
      <w:bookmarkEnd w:id="97"/>
      <w:bookmarkEnd w:id="98"/>
      <w:bookmarkEnd w:id="99"/>
    </w:p>
    <w:p w14:paraId="04D706E5">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00" w:name="_Toc506120403"/>
      <w:bookmarkStart w:id="101" w:name="_Toc152042319"/>
      <w:bookmarkStart w:id="102" w:name="_Toc361338250"/>
      <w:bookmarkStart w:id="103" w:name="_Toc8331"/>
      <w:bookmarkStart w:id="104" w:name="_Toc144974511"/>
      <w:bookmarkStart w:id="105" w:name="_Toc152045543"/>
      <w:r>
        <w:rPr>
          <w:rFonts w:hint="eastAsia" w:ascii="宋体" w:hAnsi="宋体" w:eastAsia="宋体" w:cs="宋体"/>
          <w:b/>
          <w:color w:val="000000" w:themeColor="text1"/>
          <w:kern w:val="2"/>
          <w:szCs w:val="21"/>
          <w:highlight w:val="none"/>
          <w14:textFill>
            <w14:solidFill>
              <w14:schemeClr w14:val="tx1"/>
            </w14:solidFill>
          </w14:textFill>
        </w:rPr>
        <w:t>2.1 招标文件的组成</w:t>
      </w:r>
      <w:bookmarkEnd w:id="100"/>
      <w:bookmarkEnd w:id="101"/>
      <w:bookmarkEnd w:id="102"/>
      <w:bookmarkEnd w:id="103"/>
      <w:bookmarkEnd w:id="104"/>
      <w:bookmarkEnd w:id="105"/>
    </w:p>
    <w:p w14:paraId="776C0E7C">
      <w:pPr>
        <w:wordWrap w:val="0"/>
        <w:snapToGrid w:val="0"/>
        <w:spacing w:line="45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本招标文件包括：</w:t>
      </w:r>
    </w:p>
    <w:p w14:paraId="1369891B">
      <w:pPr>
        <w:wordWrap w:val="0"/>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（1）招标公告；</w:t>
      </w:r>
    </w:p>
    <w:p w14:paraId="341D84BB">
      <w:pPr>
        <w:wordWrap w:val="0"/>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（2）投标人须知；</w:t>
      </w:r>
    </w:p>
    <w:p w14:paraId="7CD21897">
      <w:pPr>
        <w:wordWrap w:val="0"/>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（3）评标办法；</w:t>
      </w:r>
    </w:p>
    <w:p w14:paraId="7AADB090">
      <w:pPr>
        <w:wordWrap w:val="0"/>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（4）合同条款及格式；</w:t>
      </w:r>
    </w:p>
    <w:p w14:paraId="371D492A">
      <w:pPr>
        <w:wordWrap w:val="0"/>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）投标文件格式；</w:t>
      </w:r>
    </w:p>
    <w:p w14:paraId="0537B76A">
      <w:pPr>
        <w:wordWrap w:val="0"/>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lang w:val="en-US" w:eastAsia="zh-CN"/>
          <w14:textFill>
            <w14:solidFill>
              <w14:schemeClr w14:val="tx1"/>
            </w14:solidFill>
          </w14:textFill>
        </w:rPr>
        <w:t>6</w:t>
      </w:r>
      <w:r>
        <w:rPr>
          <w:rFonts w:hint="eastAsia" w:ascii="宋体" w:hAnsi="宋体" w:eastAsia="宋体" w:cs="宋体"/>
          <w:color w:val="000000" w:themeColor="text1"/>
          <w:sz w:val="22"/>
          <w:szCs w:val="22"/>
          <w:highlight w:val="none"/>
          <w14:textFill>
            <w14:solidFill>
              <w14:schemeClr w14:val="tx1"/>
            </w14:solidFill>
          </w14:textFill>
        </w:rPr>
        <w:t>）投标人须知前附表规定的其他材料。</w:t>
      </w:r>
    </w:p>
    <w:p w14:paraId="3577E921">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根据本章第1.11款、第2.2款对招标文件所作的澄清、补充，构成招标文件的组成部分。当招标文件及其澄清、修改文件对同一内容表述不一致时，以最后发出的书面文件为准。</w:t>
      </w:r>
    </w:p>
    <w:p w14:paraId="0072356B">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06" w:name="_Toc152042320"/>
      <w:bookmarkStart w:id="107" w:name="_Toc179632562"/>
      <w:bookmarkStart w:id="108" w:name="_Toc144974512"/>
      <w:bookmarkStart w:id="109" w:name="_Toc152045544"/>
      <w:bookmarkStart w:id="110" w:name="_Toc3839"/>
      <w:bookmarkStart w:id="111" w:name="_Toc506120404"/>
      <w:r>
        <w:rPr>
          <w:rFonts w:hint="eastAsia" w:ascii="宋体" w:hAnsi="宋体" w:eastAsia="宋体" w:cs="宋体"/>
          <w:b/>
          <w:color w:val="000000" w:themeColor="text1"/>
          <w:kern w:val="2"/>
          <w:szCs w:val="21"/>
          <w:highlight w:val="none"/>
          <w14:textFill>
            <w14:solidFill>
              <w14:schemeClr w14:val="tx1"/>
            </w14:solidFill>
          </w14:textFill>
        </w:rPr>
        <w:t>2.2 招标文件的澄清</w:t>
      </w:r>
      <w:bookmarkEnd w:id="106"/>
      <w:bookmarkEnd w:id="107"/>
      <w:bookmarkEnd w:id="108"/>
      <w:bookmarkEnd w:id="109"/>
      <w:r>
        <w:rPr>
          <w:rFonts w:hint="eastAsia" w:ascii="宋体" w:hAnsi="宋体" w:eastAsia="宋体" w:cs="宋体"/>
          <w:b/>
          <w:color w:val="000000" w:themeColor="text1"/>
          <w:kern w:val="2"/>
          <w:szCs w:val="21"/>
          <w:highlight w:val="none"/>
          <w14:textFill>
            <w14:solidFill>
              <w14:schemeClr w14:val="tx1"/>
            </w14:solidFill>
          </w14:textFill>
        </w:rPr>
        <w:t>、修改</w:t>
      </w:r>
      <w:bookmarkEnd w:id="110"/>
      <w:bookmarkEnd w:id="111"/>
    </w:p>
    <w:p w14:paraId="76BF6696">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2.2.1投标人应仔细阅读和检查招标文件的全部内容。如发现缺页或附件不全，应及时向招标人提出，以便完善。如有疑问，应在投标人须知前附表规定的时间、方式，要求招标人对招标文件予以澄清。</w:t>
      </w:r>
    </w:p>
    <w:p w14:paraId="40BD2CB3">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2.2.2 招标文件的澄清、修改将在投标人须知前附表规定的投标截止时间前，按投标人须知前附表1.11.3项规定的时间和方式公开发布，但不指明澄清问题的来源。如果澄清、修改的内容可能影响投标文件编制的且澄清发出的时间距投标截止时间不足5天，如对投标人有实质性影响的，相应延长投标截止时间。</w:t>
      </w:r>
    </w:p>
    <w:p w14:paraId="79E3F2BF">
      <w:pPr>
        <w:wordWrap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2.2.3 澄清、修改</w:t>
      </w:r>
      <w:r>
        <w:rPr>
          <w:rFonts w:hint="eastAsia" w:ascii="宋体" w:hAnsi="宋体" w:eastAsia="宋体" w:cs="宋体"/>
          <w:bCs/>
          <w:color w:val="000000" w:themeColor="text1"/>
          <w:sz w:val="22"/>
          <w:szCs w:val="22"/>
          <w:highlight w:val="none"/>
          <w:lang w:val="en-US" w:eastAsia="zh-CN"/>
          <w14:textFill>
            <w14:solidFill>
              <w14:schemeClr w14:val="tx1"/>
            </w14:solidFill>
          </w14:textFill>
        </w:rPr>
        <w:t>内容投标人自行在龙游县水务集团网站获取，不另行通知。</w:t>
      </w:r>
    </w:p>
    <w:p w14:paraId="2CF9C45F">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12" w:name="_Toc480456308"/>
      <w:r>
        <w:rPr>
          <w:rFonts w:hint="eastAsia" w:ascii="宋体" w:hAnsi="宋体" w:eastAsia="宋体" w:cs="宋体"/>
          <w:b/>
          <w:color w:val="000000" w:themeColor="text1"/>
          <w:kern w:val="2"/>
          <w:szCs w:val="21"/>
          <w:highlight w:val="none"/>
          <w14:textFill>
            <w14:solidFill>
              <w14:schemeClr w14:val="tx1"/>
            </w14:solidFill>
          </w14:textFill>
        </w:rPr>
        <w:t>3.投标文件</w:t>
      </w:r>
      <w:bookmarkEnd w:id="112"/>
    </w:p>
    <w:p w14:paraId="0CF06DDD">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13" w:name="_Toc361338254"/>
      <w:bookmarkStart w:id="114" w:name="_Toc144974515"/>
      <w:bookmarkStart w:id="115" w:name="_Toc152042323"/>
      <w:bookmarkStart w:id="116" w:name="_Toc16388"/>
      <w:bookmarkStart w:id="117" w:name="_Toc152045547"/>
      <w:bookmarkStart w:id="118" w:name="_Toc506120406"/>
      <w:r>
        <w:rPr>
          <w:rFonts w:hint="eastAsia" w:ascii="宋体" w:hAnsi="宋体" w:eastAsia="宋体" w:cs="宋体"/>
          <w:b/>
          <w:color w:val="000000" w:themeColor="text1"/>
          <w:kern w:val="2"/>
          <w:szCs w:val="21"/>
          <w:highlight w:val="none"/>
          <w14:textFill>
            <w14:solidFill>
              <w14:schemeClr w14:val="tx1"/>
            </w14:solidFill>
          </w14:textFill>
        </w:rPr>
        <w:t>3.1 投标文件的组成</w:t>
      </w:r>
      <w:bookmarkEnd w:id="113"/>
      <w:bookmarkEnd w:id="114"/>
      <w:bookmarkEnd w:id="115"/>
      <w:bookmarkEnd w:id="116"/>
      <w:bookmarkEnd w:id="117"/>
      <w:bookmarkEnd w:id="118"/>
    </w:p>
    <w:p w14:paraId="3F3370D8">
      <w:pPr>
        <w:pStyle w:val="9"/>
        <w:snapToGrid w:val="0"/>
        <w:spacing w:after="0" w:line="450" w:lineRule="exact"/>
        <w:ind w:firstLine="440" w:firstLineChars="200"/>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）投标函；</w:t>
      </w:r>
      <w:r>
        <w:rPr>
          <w:rFonts w:hint="eastAsia" w:ascii="宋体" w:hAnsi="宋体" w:cs="宋体"/>
          <w:color w:val="000000" w:themeColor="text1"/>
          <w:sz w:val="22"/>
          <w:szCs w:val="22"/>
          <w:highlight w:val="none"/>
          <w:lang w:val="en-US" w:eastAsia="zh-CN"/>
          <w14:textFill>
            <w14:solidFill>
              <w14:schemeClr w14:val="tx1"/>
            </w14:solidFill>
          </w14:textFill>
        </w:rPr>
        <w:t>（详见附件）</w:t>
      </w:r>
    </w:p>
    <w:p w14:paraId="3B54EF5E">
      <w:pPr>
        <w:pStyle w:val="9"/>
        <w:snapToGrid w:val="0"/>
        <w:spacing w:after="0" w:line="450" w:lineRule="exact"/>
        <w:ind w:firstLine="440" w:firstLineChars="200"/>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（2）拟派项目组人员一览表</w:t>
      </w:r>
      <w:r>
        <w:rPr>
          <w:rFonts w:hint="eastAsia" w:ascii="宋体" w:hAnsi="宋体" w:cs="宋体"/>
          <w:color w:val="000000" w:themeColor="text1"/>
          <w:sz w:val="22"/>
          <w:szCs w:val="22"/>
          <w:highlight w:val="none"/>
          <w:lang w:val="en-US" w:eastAsia="zh-CN"/>
          <w14:textFill>
            <w14:solidFill>
              <w14:schemeClr w14:val="tx1"/>
            </w14:solidFill>
          </w14:textFill>
        </w:rPr>
        <w:t>；（详见附件）</w:t>
      </w:r>
    </w:p>
    <w:p w14:paraId="3DB54A89">
      <w:pPr>
        <w:pStyle w:val="9"/>
        <w:snapToGrid w:val="0"/>
        <w:spacing w:after="0" w:line="450" w:lineRule="exact"/>
        <w:ind w:firstLine="440" w:firstLineChars="200"/>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（3）</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各类抢维修工具、机械设备及操作规范；（</w:t>
      </w: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格式自拟，机械设备</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一览表</w:t>
      </w: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详见附件）</w:t>
      </w:r>
    </w:p>
    <w:p w14:paraId="62965D6F">
      <w:pPr>
        <w:pStyle w:val="9"/>
        <w:snapToGrid w:val="0"/>
        <w:spacing w:after="0" w:line="450" w:lineRule="exact"/>
        <w:ind w:firstLine="440" w:firstLineChars="200"/>
        <w:rPr>
          <w:rFonts w:hint="eastAsia" w:ascii="宋体" w:hAnsi="宋体" w:cs="宋体"/>
          <w:color w:val="000000" w:themeColor="text1"/>
          <w:kern w:val="2"/>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w:t>
      </w:r>
      <w:r>
        <w:rPr>
          <w:rFonts w:hint="eastAsia" w:ascii="宋体" w:hAnsi="宋体" w:cs="宋体"/>
          <w:color w:val="000000" w:themeColor="text1"/>
          <w:kern w:val="2"/>
          <w:sz w:val="22"/>
          <w:szCs w:val="22"/>
          <w:highlight w:val="none"/>
          <w:lang w:val="en-US" w:eastAsia="zh-CN" w:bidi="ar-SA"/>
          <w14:textFill>
            <w14:solidFill>
              <w14:schemeClr w14:val="tx1"/>
            </w14:solidFill>
          </w14:textFill>
        </w:rPr>
        <w:t>4</w:t>
      </w: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施工方案及安全措施</w:t>
      </w:r>
      <w:r>
        <w:rPr>
          <w:rFonts w:hint="eastAsia" w:ascii="宋体" w:hAnsi="宋体" w:cs="宋体"/>
          <w:color w:val="000000" w:themeColor="text1"/>
          <w:kern w:val="2"/>
          <w:sz w:val="22"/>
          <w:szCs w:val="22"/>
          <w:highlight w:val="none"/>
          <w:lang w:val="zh-CN" w:eastAsia="zh-CN" w:bidi="ar-SA"/>
          <w14:textFill>
            <w14:solidFill>
              <w14:schemeClr w14:val="tx1"/>
            </w14:solidFill>
          </w14:textFill>
        </w:rPr>
        <w:t>；</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w:t>
      </w: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格式自拟</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w:t>
      </w:r>
    </w:p>
    <w:p w14:paraId="4EFCA5F2">
      <w:pPr>
        <w:pStyle w:val="9"/>
        <w:snapToGrid w:val="0"/>
        <w:spacing w:after="0" w:line="450" w:lineRule="exact"/>
        <w:ind w:firstLine="440" w:firstLineChars="200"/>
        <w:rPr>
          <w:rFonts w:hint="default"/>
          <w:color w:val="000000" w:themeColor="text1"/>
          <w:highlight w:val="none"/>
          <w:lang w:val="en-US" w:eastAsia="zh-CN"/>
          <w14:textFill>
            <w14:solidFill>
              <w14:schemeClr w14:val="tx1"/>
            </w14:solidFill>
          </w14:textFill>
        </w:rPr>
      </w:pPr>
      <w:r>
        <w:rPr>
          <w:rFonts w:hint="eastAsia" w:ascii="宋体" w:hAnsi="宋体" w:cs="宋体"/>
          <w:color w:val="000000" w:themeColor="text1"/>
          <w:kern w:val="2"/>
          <w:sz w:val="22"/>
          <w:szCs w:val="22"/>
          <w:highlight w:val="none"/>
          <w:lang w:val="zh-CN" w:eastAsia="zh-CN" w:bidi="ar-SA"/>
          <w14:textFill>
            <w14:solidFill>
              <w14:schemeClr w14:val="tx1"/>
            </w14:solidFill>
          </w14:textFill>
        </w:rPr>
        <w:t>（</w:t>
      </w:r>
      <w:r>
        <w:rPr>
          <w:rFonts w:hint="eastAsia" w:ascii="宋体" w:hAnsi="宋体" w:cs="宋体"/>
          <w:color w:val="000000" w:themeColor="text1"/>
          <w:kern w:val="2"/>
          <w:sz w:val="22"/>
          <w:szCs w:val="22"/>
          <w:highlight w:val="none"/>
          <w:lang w:val="en-US" w:eastAsia="zh-CN" w:bidi="ar-SA"/>
          <w14:textFill>
            <w14:solidFill>
              <w14:schemeClr w14:val="tx1"/>
            </w14:solidFill>
          </w14:textFill>
        </w:rPr>
        <w:t>5</w:t>
      </w:r>
      <w:r>
        <w:rPr>
          <w:rFonts w:hint="eastAsia" w:ascii="宋体" w:hAnsi="宋体" w:cs="宋体"/>
          <w:color w:val="000000" w:themeColor="text1"/>
          <w:kern w:val="2"/>
          <w:sz w:val="22"/>
          <w:szCs w:val="22"/>
          <w:highlight w:val="none"/>
          <w:lang w:val="zh-CN" w:eastAsia="zh-CN" w:bidi="ar-SA"/>
          <w14:textFill>
            <w14:solidFill>
              <w14:schemeClr w14:val="tx1"/>
            </w14:solidFill>
          </w14:textFill>
        </w:rPr>
        <w:t>）</w:t>
      </w:r>
      <w:r>
        <w:rPr>
          <w:rFonts w:hint="eastAsia" w:ascii="宋体" w:hAnsi="宋体" w:cs="宋体"/>
          <w:color w:val="000000" w:themeColor="text1"/>
          <w:kern w:val="2"/>
          <w:sz w:val="22"/>
          <w:szCs w:val="22"/>
          <w:highlight w:val="none"/>
          <w:lang w:val="en-US" w:eastAsia="zh-CN" w:bidi="ar-SA"/>
          <w14:textFill>
            <w14:solidFill>
              <w14:schemeClr w14:val="tx1"/>
            </w14:solidFill>
          </w14:textFill>
        </w:rPr>
        <w:t>服务承诺；</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w:t>
      </w: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格式自拟</w:t>
      </w:r>
      <w:r>
        <w:rPr>
          <w:rFonts w:hint="eastAsia" w:ascii="宋体" w:hAnsi="宋体" w:eastAsia="宋体" w:cs="宋体"/>
          <w:color w:val="000000" w:themeColor="text1"/>
          <w:kern w:val="2"/>
          <w:sz w:val="22"/>
          <w:szCs w:val="22"/>
          <w:highlight w:val="none"/>
          <w:lang w:val="zh-CN" w:eastAsia="zh-CN" w:bidi="ar-SA"/>
          <w14:textFill>
            <w14:solidFill>
              <w14:schemeClr w14:val="tx1"/>
            </w14:solidFill>
          </w14:textFill>
        </w:rPr>
        <w:t>）</w:t>
      </w:r>
    </w:p>
    <w:p w14:paraId="602EA451">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19" w:name="_Toc480456309"/>
      <w:bookmarkStart w:id="120" w:name="_Toc2889"/>
      <w:bookmarkStart w:id="121" w:name="_Toc506120273"/>
      <w:bookmarkStart w:id="122" w:name="_Toc506120408"/>
      <w:r>
        <w:rPr>
          <w:rFonts w:hint="eastAsia" w:ascii="宋体" w:hAnsi="宋体" w:eastAsia="宋体" w:cs="宋体"/>
          <w:b/>
          <w:color w:val="000000" w:themeColor="text1"/>
          <w:kern w:val="2"/>
          <w:szCs w:val="21"/>
          <w:highlight w:val="none"/>
          <w14:textFill>
            <w14:solidFill>
              <w14:schemeClr w14:val="tx1"/>
            </w14:solidFill>
          </w14:textFill>
        </w:rPr>
        <w:t>3.</w:t>
      </w:r>
      <w:r>
        <w:rPr>
          <w:rFonts w:hint="eastAsia" w:ascii="宋体" w:hAnsi="宋体" w:eastAsia="宋体" w:cs="宋体"/>
          <w:b/>
          <w:color w:val="000000" w:themeColor="text1"/>
          <w:kern w:val="2"/>
          <w:szCs w:val="21"/>
          <w:highlight w:val="none"/>
          <w:lang w:val="en-US" w:eastAsia="zh-CN"/>
          <w14:textFill>
            <w14:solidFill>
              <w14:schemeClr w14:val="tx1"/>
            </w14:solidFill>
          </w14:textFill>
        </w:rPr>
        <w:t>2</w:t>
      </w:r>
      <w:r>
        <w:rPr>
          <w:rFonts w:hint="eastAsia" w:ascii="宋体" w:hAnsi="宋体" w:eastAsia="宋体" w:cs="宋体"/>
          <w:b/>
          <w:color w:val="000000" w:themeColor="text1"/>
          <w:kern w:val="2"/>
          <w:szCs w:val="21"/>
          <w:highlight w:val="none"/>
          <w14:textFill>
            <w14:solidFill>
              <w14:schemeClr w14:val="tx1"/>
            </w14:solidFill>
          </w14:textFill>
        </w:rPr>
        <w:t xml:space="preserve"> 投标文件有效期</w:t>
      </w:r>
      <w:bookmarkEnd w:id="119"/>
      <w:bookmarkEnd w:id="120"/>
      <w:bookmarkEnd w:id="121"/>
      <w:bookmarkEnd w:id="122"/>
    </w:p>
    <w:p w14:paraId="47B59696">
      <w:pPr>
        <w:keepNext w:val="0"/>
        <w:keepLines w:val="0"/>
        <w:pageBreakBefore w:val="0"/>
        <w:widowControl w:val="0"/>
        <w:kinsoku/>
        <w:wordWrap w:val="0"/>
        <w:overflowPunct/>
        <w:topLinePunct w:val="0"/>
        <w:bidi w:val="0"/>
        <w:snapToGrid w:val="0"/>
        <w:spacing w:line="450" w:lineRule="atLeas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123" w:name="_Toc480456310"/>
      <w:r>
        <w:rPr>
          <w:rFonts w:hint="eastAsia" w:ascii="宋体" w:hAnsi="宋体" w:eastAsia="宋体" w:cs="宋体"/>
          <w:color w:val="000000" w:themeColor="text1"/>
          <w:sz w:val="22"/>
          <w:szCs w:val="22"/>
          <w:highlight w:val="none"/>
          <w14:textFill>
            <w14:solidFill>
              <w14:schemeClr w14:val="tx1"/>
            </w14:solidFill>
          </w14:textFill>
        </w:rPr>
        <w:t>在投标人须知前附表规定的投标有效期内，投标人不得要求撤销或修改其投标文件。</w:t>
      </w:r>
    </w:p>
    <w:p w14:paraId="7E881ED2">
      <w:pPr>
        <w:pStyle w:val="42"/>
        <w:keepNext w:val="0"/>
        <w:keepLines w:val="0"/>
        <w:pageBreakBefore w:val="0"/>
        <w:widowControl w:val="0"/>
        <w:kinsoku/>
        <w:overflowPunct/>
        <w:topLinePunct w:val="0"/>
        <w:bidi w:val="0"/>
        <w:spacing w:line="450" w:lineRule="atLeast"/>
        <w:jc w:val="both"/>
        <w:textAlignment w:val="auto"/>
        <w:rPr>
          <w:rFonts w:hint="eastAsia" w:ascii="宋体" w:hAnsi="宋体" w:eastAsia="宋体" w:cs="宋体"/>
          <w:b/>
          <w:color w:val="000000" w:themeColor="text1"/>
          <w:kern w:val="2"/>
          <w:szCs w:val="21"/>
          <w:highlight w:val="none"/>
          <w14:textFill>
            <w14:solidFill>
              <w14:schemeClr w14:val="tx1"/>
            </w14:solidFill>
          </w14:textFill>
        </w:rPr>
      </w:pPr>
      <w:bookmarkStart w:id="124" w:name="_Toc10477"/>
      <w:bookmarkStart w:id="125" w:name="_Toc506120409"/>
      <w:bookmarkStart w:id="126" w:name="_Toc506120274"/>
      <w:r>
        <w:rPr>
          <w:rFonts w:hint="eastAsia" w:ascii="宋体" w:hAnsi="宋体" w:eastAsia="宋体" w:cs="宋体"/>
          <w:b/>
          <w:color w:val="000000" w:themeColor="text1"/>
          <w:kern w:val="2"/>
          <w:szCs w:val="21"/>
          <w:highlight w:val="none"/>
          <w14:textFill>
            <w14:solidFill>
              <w14:schemeClr w14:val="tx1"/>
            </w14:solidFill>
          </w14:textFill>
        </w:rPr>
        <w:t>3.4 投标保证金</w:t>
      </w:r>
      <w:bookmarkEnd w:id="123"/>
      <w:bookmarkEnd w:id="124"/>
      <w:bookmarkEnd w:id="125"/>
      <w:bookmarkEnd w:id="126"/>
    </w:p>
    <w:p w14:paraId="6C0E7ACF">
      <w:pPr>
        <w:keepNext w:val="0"/>
        <w:keepLines w:val="0"/>
        <w:pageBreakBefore w:val="0"/>
        <w:widowControl w:val="0"/>
        <w:kinsoku/>
        <w:overflowPunct/>
        <w:topLinePunct w:val="0"/>
        <w:bidi w:val="0"/>
        <w:spacing w:line="450" w:lineRule="atLeast"/>
        <w:ind w:firstLine="440" w:firstLineChars="20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无需缴纳。</w:t>
      </w:r>
    </w:p>
    <w:p w14:paraId="396CAD72">
      <w:pPr>
        <w:pStyle w:val="42"/>
        <w:keepNext w:val="0"/>
        <w:keepLines w:val="0"/>
        <w:pageBreakBefore w:val="0"/>
        <w:widowControl w:val="0"/>
        <w:kinsoku/>
        <w:overflowPunct/>
        <w:topLinePunct w:val="0"/>
        <w:bidi w:val="0"/>
        <w:spacing w:line="450" w:lineRule="atLeast"/>
        <w:jc w:val="both"/>
        <w:textAlignment w:val="auto"/>
        <w:rPr>
          <w:rFonts w:hint="eastAsia" w:ascii="宋体" w:hAnsi="宋体" w:eastAsia="宋体" w:cs="宋体"/>
          <w:b/>
          <w:color w:val="000000" w:themeColor="text1"/>
          <w:kern w:val="2"/>
          <w:szCs w:val="21"/>
          <w:highlight w:val="none"/>
          <w14:textFill>
            <w14:solidFill>
              <w14:schemeClr w14:val="tx1"/>
            </w14:solidFill>
          </w14:textFill>
        </w:rPr>
      </w:pPr>
      <w:bookmarkStart w:id="127" w:name="_Toc28140"/>
      <w:bookmarkStart w:id="128" w:name="_Toc506120275"/>
      <w:bookmarkStart w:id="129" w:name="_Toc480456307"/>
      <w:bookmarkStart w:id="130" w:name="_Toc506120410"/>
      <w:r>
        <w:rPr>
          <w:rFonts w:hint="eastAsia" w:ascii="宋体" w:hAnsi="宋体" w:eastAsia="宋体" w:cs="宋体"/>
          <w:b/>
          <w:color w:val="000000" w:themeColor="text1"/>
          <w:kern w:val="2"/>
          <w:szCs w:val="21"/>
          <w:highlight w:val="none"/>
          <w14:textFill>
            <w14:solidFill>
              <w14:schemeClr w14:val="tx1"/>
            </w14:solidFill>
          </w14:textFill>
        </w:rPr>
        <w:t>3.5 投标文件的编制</w:t>
      </w:r>
      <w:bookmarkEnd w:id="127"/>
      <w:bookmarkEnd w:id="128"/>
      <w:bookmarkEnd w:id="129"/>
      <w:bookmarkEnd w:id="130"/>
    </w:p>
    <w:p w14:paraId="45D978E7">
      <w:pPr>
        <w:keepNext w:val="0"/>
        <w:keepLines w:val="0"/>
        <w:pageBreakBefore w:val="0"/>
        <w:widowControl w:val="0"/>
        <w:kinsoku/>
        <w:overflowPunct/>
        <w:topLinePunct w:val="0"/>
        <w:bidi w:val="0"/>
        <w:spacing w:line="450" w:lineRule="atLeas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3.5.1投标人应按本须知第3.1.1条规定的内容、份数编制投标文件。</w:t>
      </w:r>
    </w:p>
    <w:p w14:paraId="1FED99C1">
      <w:pPr>
        <w:keepNext w:val="0"/>
        <w:keepLines w:val="0"/>
        <w:pageBreakBefore w:val="0"/>
        <w:widowControl w:val="0"/>
        <w:kinsoku/>
        <w:overflowPunct/>
        <w:topLinePunct w:val="0"/>
        <w:bidi w:val="0"/>
        <w:snapToGrid w:val="0"/>
        <w:spacing w:line="450" w:lineRule="atLeas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3.5.2投标文件的正、副本应使用打印或不易褪色的蓝黑墨水笔书写，在规定的位置必须由法定代表人签名（或印鉴），或授权代表人签名，同时加盖单位公章。</w:t>
      </w:r>
    </w:p>
    <w:p w14:paraId="418CFFE1">
      <w:pPr>
        <w:keepNext w:val="0"/>
        <w:keepLines w:val="0"/>
        <w:pageBreakBefore w:val="0"/>
        <w:widowControl w:val="0"/>
        <w:kinsoku/>
        <w:overflowPunct/>
        <w:topLinePunct w:val="0"/>
        <w:bidi w:val="0"/>
        <w:snapToGrid w:val="0"/>
        <w:spacing w:line="450" w:lineRule="atLeast"/>
        <w:ind w:firstLine="431" w:firstLineChars="196"/>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3.5.3</w:t>
      </w:r>
      <w:r>
        <w:rPr>
          <w:rFonts w:hint="eastAsia" w:ascii="宋体" w:hAnsi="宋体" w:eastAsia="宋体" w:cs="宋体"/>
          <w:b/>
          <w:snapToGrid w:val="0"/>
          <w:color w:val="000000" w:themeColor="text1"/>
          <w:kern w:val="0"/>
          <w:sz w:val="22"/>
          <w:szCs w:val="22"/>
          <w:highlight w:val="none"/>
          <w14:textFill>
            <w14:solidFill>
              <w14:schemeClr w14:val="tx1"/>
            </w14:solidFill>
          </w14:textFill>
        </w:rPr>
        <w:t>投标文件正本如有修改和增删必须在修改和增删处加盖投标人公章。</w:t>
      </w:r>
    </w:p>
    <w:p w14:paraId="12E1EB4A">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31" w:name="_Toc152042331"/>
      <w:bookmarkStart w:id="132" w:name="_Toc144974523"/>
      <w:bookmarkStart w:id="133" w:name="_Toc152045555"/>
      <w:r>
        <w:rPr>
          <w:rFonts w:hint="eastAsia" w:ascii="宋体" w:hAnsi="宋体" w:eastAsia="宋体" w:cs="宋体"/>
          <w:b/>
          <w:color w:val="000000" w:themeColor="text1"/>
          <w:kern w:val="2"/>
          <w:szCs w:val="21"/>
          <w:highlight w:val="none"/>
          <w14:textFill>
            <w14:solidFill>
              <w14:schemeClr w14:val="tx1"/>
            </w14:solidFill>
          </w14:textFill>
        </w:rPr>
        <w:t>4. 投标</w:t>
      </w:r>
      <w:bookmarkEnd w:id="131"/>
      <w:bookmarkEnd w:id="132"/>
      <w:bookmarkEnd w:id="133"/>
    </w:p>
    <w:p w14:paraId="1C60E70B">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34" w:name="_Toc152042332"/>
      <w:bookmarkStart w:id="135" w:name="_Toc361338261"/>
      <w:bookmarkStart w:id="136" w:name="_Toc144974524"/>
      <w:bookmarkStart w:id="137" w:name="_Toc152045556"/>
      <w:bookmarkStart w:id="138" w:name="_Toc31526"/>
      <w:bookmarkStart w:id="139" w:name="_Toc506120412"/>
      <w:r>
        <w:rPr>
          <w:rFonts w:hint="eastAsia" w:ascii="宋体" w:hAnsi="宋体" w:eastAsia="宋体" w:cs="宋体"/>
          <w:b/>
          <w:color w:val="000000" w:themeColor="text1"/>
          <w:kern w:val="2"/>
          <w:szCs w:val="21"/>
          <w:highlight w:val="none"/>
          <w14:textFill>
            <w14:solidFill>
              <w14:schemeClr w14:val="tx1"/>
            </w14:solidFill>
          </w14:textFill>
        </w:rPr>
        <w:t>4.1 投标文件的密封和标记</w:t>
      </w:r>
      <w:bookmarkEnd w:id="134"/>
      <w:bookmarkEnd w:id="135"/>
      <w:bookmarkEnd w:id="136"/>
      <w:bookmarkEnd w:id="137"/>
      <w:bookmarkEnd w:id="138"/>
      <w:bookmarkEnd w:id="139"/>
    </w:p>
    <w:p w14:paraId="75FF3076">
      <w:pPr>
        <w:snapToGrid w:val="0"/>
        <w:spacing w:line="450" w:lineRule="exact"/>
        <w:ind w:firstLine="440" w:firstLineChars="200"/>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4.1.1</w:t>
      </w:r>
      <w:r>
        <w:rPr>
          <w:rFonts w:hint="eastAsia" w:ascii="宋体" w:hAnsi="宋体" w:eastAsia="宋体" w:cs="宋体"/>
          <w:b/>
          <w:snapToGrid w:val="0"/>
          <w:color w:val="000000" w:themeColor="text1"/>
          <w:kern w:val="0"/>
          <w:sz w:val="22"/>
          <w:szCs w:val="22"/>
          <w:highlight w:val="none"/>
          <w14:textFill>
            <w14:solidFill>
              <w14:schemeClr w14:val="tx1"/>
            </w14:solidFill>
          </w14:textFill>
        </w:rPr>
        <w:t>投标文件</w:t>
      </w:r>
      <w:r>
        <w:rPr>
          <w:rFonts w:hint="eastAsia" w:ascii="宋体" w:hAnsi="宋体" w:eastAsia="宋体" w:cs="宋体"/>
          <w:b/>
          <w:snapToGrid w:val="0"/>
          <w:color w:val="000000" w:themeColor="text1"/>
          <w:kern w:val="0"/>
          <w:sz w:val="22"/>
          <w:szCs w:val="22"/>
          <w:highlight w:val="none"/>
          <w:lang w:eastAsia="zh-CN"/>
          <w14:textFill>
            <w14:solidFill>
              <w14:schemeClr w14:val="tx1"/>
            </w14:solidFill>
          </w14:textFill>
        </w:rPr>
        <w:t>单独</w:t>
      </w:r>
      <w:r>
        <w:rPr>
          <w:rFonts w:hint="eastAsia" w:ascii="宋体" w:hAnsi="宋体" w:eastAsia="宋体" w:cs="宋体"/>
          <w:b/>
          <w:snapToGrid w:val="0"/>
          <w:color w:val="000000" w:themeColor="text1"/>
          <w:kern w:val="0"/>
          <w:sz w:val="22"/>
          <w:szCs w:val="22"/>
          <w:highlight w:val="none"/>
          <w14:textFill>
            <w14:solidFill>
              <w14:schemeClr w14:val="tx1"/>
            </w14:solidFill>
          </w14:textFill>
        </w:rPr>
        <w:t>装袋密封；</w:t>
      </w:r>
      <w:r>
        <w:rPr>
          <w:rFonts w:hint="eastAsia" w:ascii="宋体" w:hAnsi="宋体" w:eastAsia="宋体" w:cs="宋体"/>
          <w:b/>
          <w:snapToGrid w:val="0"/>
          <w:color w:val="000000" w:themeColor="text1"/>
          <w:kern w:val="0"/>
          <w:sz w:val="22"/>
          <w:szCs w:val="22"/>
          <w:highlight w:val="none"/>
          <w:lang w:val="en-US" w:eastAsia="zh-CN"/>
          <w14:textFill>
            <w14:solidFill>
              <w14:schemeClr w14:val="tx1"/>
            </w14:solidFill>
          </w14:textFill>
        </w:rPr>
        <w:t>项目负责人或授权委托人或企业法人需到达现场进行答辩</w:t>
      </w:r>
      <w:r>
        <w:rPr>
          <w:rFonts w:hint="eastAsia" w:ascii="宋体" w:hAnsi="宋体" w:cs="宋体"/>
          <w:b/>
          <w:snapToGrid w:val="0"/>
          <w:color w:val="000000" w:themeColor="text1"/>
          <w:kern w:val="0"/>
          <w:sz w:val="22"/>
          <w:szCs w:val="22"/>
          <w:highlight w:val="none"/>
          <w:lang w:val="en-US" w:eastAsia="zh-CN"/>
          <w14:textFill>
            <w14:solidFill>
              <w14:schemeClr w14:val="tx1"/>
            </w14:solidFill>
          </w14:textFill>
        </w:rPr>
        <w:t>，</w:t>
      </w:r>
      <w:r>
        <w:rPr>
          <w:rFonts w:hint="eastAsia" w:ascii="宋体" w:hAnsi="宋体" w:eastAsia="宋体" w:cs="宋体"/>
          <w:b/>
          <w:snapToGrid w:val="0"/>
          <w:color w:val="000000" w:themeColor="text1"/>
          <w:kern w:val="0"/>
          <w:sz w:val="22"/>
          <w:szCs w:val="22"/>
          <w:highlight w:val="none"/>
          <w:lang w:val="en-US" w:eastAsia="zh-CN"/>
          <w14:textFill>
            <w14:solidFill>
              <w14:schemeClr w14:val="tx1"/>
            </w14:solidFill>
          </w14:textFill>
        </w:rPr>
        <w:t>项目负责人或授权委托人</w:t>
      </w:r>
      <w:r>
        <w:rPr>
          <w:rFonts w:hint="eastAsia" w:ascii="宋体" w:hAnsi="宋体" w:cs="宋体"/>
          <w:b/>
          <w:snapToGrid w:val="0"/>
          <w:color w:val="000000" w:themeColor="text1"/>
          <w:kern w:val="0"/>
          <w:sz w:val="22"/>
          <w:szCs w:val="22"/>
          <w:highlight w:val="none"/>
          <w:lang w:val="en-US" w:eastAsia="zh-CN"/>
          <w14:textFill>
            <w14:solidFill>
              <w14:schemeClr w14:val="tx1"/>
            </w14:solidFill>
          </w14:textFill>
        </w:rPr>
        <w:t>到场须提供授权委托书（身份证原件备查，授权委托书格式自拟）</w:t>
      </w:r>
      <w:r>
        <w:rPr>
          <w:rFonts w:hint="eastAsia" w:ascii="宋体" w:hAnsi="宋体" w:eastAsia="宋体" w:cs="宋体"/>
          <w:b/>
          <w:snapToGrid w:val="0"/>
          <w:color w:val="000000" w:themeColor="text1"/>
          <w:kern w:val="0"/>
          <w:sz w:val="22"/>
          <w:szCs w:val="22"/>
          <w:highlight w:val="none"/>
          <w:lang w:val="en-US" w:eastAsia="zh-CN"/>
          <w14:textFill>
            <w14:solidFill>
              <w14:schemeClr w14:val="tx1"/>
            </w14:solidFill>
          </w14:textFill>
        </w:rPr>
        <w:t>。</w:t>
      </w:r>
    </w:p>
    <w:p w14:paraId="10B0F417">
      <w:pPr>
        <w:snapToGrid w:val="0"/>
        <w:spacing w:line="450" w:lineRule="exact"/>
        <w:ind w:firstLine="44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4.2.2投标文件封套上应写明的内容见投标人须知前附表。</w:t>
      </w:r>
    </w:p>
    <w:p w14:paraId="22209BE8">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40" w:name="_Toc144974525"/>
      <w:bookmarkStart w:id="141" w:name="_Toc361338262"/>
      <w:bookmarkStart w:id="142" w:name="_Toc152045557"/>
      <w:bookmarkStart w:id="143" w:name="_Toc13085"/>
      <w:bookmarkStart w:id="144" w:name="_Toc152042333"/>
      <w:bookmarkStart w:id="145" w:name="_Toc506120413"/>
      <w:r>
        <w:rPr>
          <w:rFonts w:hint="eastAsia" w:ascii="宋体" w:hAnsi="宋体" w:eastAsia="宋体" w:cs="宋体"/>
          <w:b/>
          <w:color w:val="000000" w:themeColor="text1"/>
          <w:kern w:val="2"/>
          <w:szCs w:val="21"/>
          <w:highlight w:val="none"/>
          <w14:textFill>
            <w14:solidFill>
              <w14:schemeClr w14:val="tx1"/>
            </w14:solidFill>
          </w14:textFill>
        </w:rPr>
        <w:t>4.2 投标文件的递交</w:t>
      </w:r>
      <w:bookmarkEnd w:id="140"/>
      <w:bookmarkEnd w:id="141"/>
      <w:bookmarkEnd w:id="142"/>
      <w:bookmarkEnd w:id="143"/>
      <w:bookmarkEnd w:id="144"/>
      <w:bookmarkEnd w:id="145"/>
    </w:p>
    <w:p w14:paraId="37504E8C">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4.2.1 投标人应在投标人须知前附表规定的投标截止时间前递交投标文件。</w:t>
      </w:r>
    </w:p>
    <w:p w14:paraId="73BB1DCC">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4.2.2 投标人递交投标文件的地点：见投标人须知前附表。</w:t>
      </w:r>
    </w:p>
    <w:p w14:paraId="2EAD8AA8">
      <w:pPr>
        <w:snapToGrid w:val="0"/>
        <w:spacing w:line="450" w:lineRule="exact"/>
        <w:ind w:firstLine="44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4.2.3 除投标人须知前附表另有规定外，投标人所递交的投标文件不予退还。</w:t>
      </w:r>
    </w:p>
    <w:p w14:paraId="4142EFB6">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46" w:name="_Toc152042334"/>
      <w:bookmarkStart w:id="147" w:name="_Toc152045558"/>
      <w:bookmarkStart w:id="148" w:name="_Toc506120414"/>
      <w:bookmarkStart w:id="149" w:name="_Toc361338263"/>
      <w:bookmarkStart w:id="150" w:name="_Toc144974526"/>
      <w:bookmarkStart w:id="151" w:name="_Toc5698"/>
      <w:r>
        <w:rPr>
          <w:rFonts w:hint="eastAsia" w:ascii="宋体" w:hAnsi="宋体" w:eastAsia="宋体" w:cs="宋体"/>
          <w:b/>
          <w:color w:val="000000" w:themeColor="text1"/>
          <w:kern w:val="2"/>
          <w:szCs w:val="21"/>
          <w:highlight w:val="none"/>
          <w14:textFill>
            <w14:solidFill>
              <w14:schemeClr w14:val="tx1"/>
            </w14:solidFill>
          </w14:textFill>
        </w:rPr>
        <w:t>4.3 投标文件的修改与撤回</w:t>
      </w:r>
      <w:bookmarkEnd w:id="146"/>
      <w:bookmarkEnd w:id="147"/>
      <w:bookmarkEnd w:id="148"/>
      <w:bookmarkEnd w:id="149"/>
      <w:bookmarkEnd w:id="150"/>
      <w:bookmarkEnd w:id="151"/>
    </w:p>
    <w:p w14:paraId="45926E8A">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4.3.1 在本章第4.2.1项规定的投标截止时间前，投标人可以修改或撤回已递交的投标文件，但应以书面形式通知招标人。</w:t>
      </w:r>
    </w:p>
    <w:p w14:paraId="4AB998F9">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4.3.2 投标人修改或撤回已递交投标文件的书面通知应按照本章第3.7.2项的要求签字和盖章。招标人收到书面通知后，向投标人出具签收凭证。</w:t>
      </w:r>
    </w:p>
    <w:p w14:paraId="2B49034F">
      <w:pPr>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4.3.3 修改的内容为投标文件的组成部分。修改的投标文件应按照本章第3条、第4条规定进行编制、密封、标记和递交，并标明“修改”字样。</w:t>
      </w:r>
    </w:p>
    <w:p w14:paraId="139B9A6B">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52" w:name="_Toc361338264"/>
      <w:bookmarkStart w:id="153" w:name="_Toc506120276"/>
      <w:bookmarkStart w:id="154" w:name="_Toc144974527"/>
      <w:bookmarkStart w:id="155" w:name="_Toc152045559"/>
      <w:bookmarkStart w:id="156" w:name="_Toc152042335"/>
      <w:r>
        <w:rPr>
          <w:rFonts w:hint="eastAsia" w:ascii="宋体" w:hAnsi="宋体" w:eastAsia="宋体" w:cs="宋体"/>
          <w:b/>
          <w:color w:val="000000" w:themeColor="text1"/>
          <w:kern w:val="2"/>
          <w:szCs w:val="21"/>
          <w:highlight w:val="none"/>
          <w14:textFill>
            <w14:solidFill>
              <w14:schemeClr w14:val="tx1"/>
            </w14:solidFill>
          </w14:textFill>
        </w:rPr>
        <w:t>5. 开标</w:t>
      </w:r>
      <w:bookmarkEnd w:id="152"/>
      <w:bookmarkEnd w:id="153"/>
      <w:bookmarkEnd w:id="154"/>
      <w:bookmarkEnd w:id="155"/>
      <w:bookmarkEnd w:id="156"/>
    </w:p>
    <w:p w14:paraId="7F919156">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57" w:name="_Toc144974528"/>
      <w:bookmarkStart w:id="158" w:name="_Toc152042336"/>
      <w:bookmarkStart w:id="159" w:name="_Toc152045560"/>
      <w:bookmarkStart w:id="160" w:name="_Toc361338265"/>
      <w:bookmarkStart w:id="161" w:name="_Toc506120416"/>
      <w:bookmarkStart w:id="162" w:name="_Toc17724"/>
      <w:r>
        <w:rPr>
          <w:rFonts w:hint="eastAsia" w:ascii="宋体" w:hAnsi="宋体" w:eastAsia="宋体" w:cs="宋体"/>
          <w:b/>
          <w:color w:val="000000" w:themeColor="text1"/>
          <w:kern w:val="2"/>
          <w:szCs w:val="21"/>
          <w:highlight w:val="none"/>
          <w14:textFill>
            <w14:solidFill>
              <w14:schemeClr w14:val="tx1"/>
            </w14:solidFill>
          </w14:textFill>
        </w:rPr>
        <w:t>5.1 开标时间和地点</w:t>
      </w:r>
      <w:bookmarkEnd w:id="157"/>
      <w:bookmarkEnd w:id="158"/>
      <w:bookmarkEnd w:id="159"/>
      <w:bookmarkEnd w:id="160"/>
      <w:r>
        <w:rPr>
          <w:rFonts w:hint="eastAsia" w:ascii="宋体" w:hAnsi="宋体" w:eastAsia="宋体" w:cs="宋体"/>
          <w:b/>
          <w:color w:val="000000" w:themeColor="text1"/>
          <w:kern w:val="2"/>
          <w:szCs w:val="21"/>
          <w:highlight w:val="none"/>
          <w14:textFill>
            <w14:solidFill>
              <w14:schemeClr w14:val="tx1"/>
            </w14:solidFill>
          </w14:textFill>
        </w:rPr>
        <w:t>、参加开标会议的要求</w:t>
      </w:r>
      <w:bookmarkEnd w:id="161"/>
      <w:bookmarkEnd w:id="162"/>
    </w:p>
    <w:p w14:paraId="2EF2FFC1">
      <w:pPr>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招标人在投标人须知前附表5.1规定的开标时间、地点公开开标，参加开标会议的要求见投标人须知前附表。</w:t>
      </w:r>
    </w:p>
    <w:p w14:paraId="0661EA32">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63" w:name="_Toc506120417"/>
      <w:bookmarkStart w:id="164" w:name="_Toc12839"/>
      <w:r>
        <w:rPr>
          <w:rFonts w:hint="eastAsia" w:ascii="宋体" w:hAnsi="宋体" w:eastAsia="宋体" w:cs="宋体"/>
          <w:b/>
          <w:color w:val="000000" w:themeColor="text1"/>
          <w:kern w:val="2"/>
          <w:szCs w:val="21"/>
          <w:highlight w:val="none"/>
          <w14:textFill>
            <w14:solidFill>
              <w14:schemeClr w14:val="tx1"/>
            </w14:solidFill>
          </w14:textFill>
        </w:rPr>
        <w:t>5.2 开标</w:t>
      </w:r>
      <w:bookmarkEnd w:id="163"/>
      <w:bookmarkEnd w:id="164"/>
    </w:p>
    <w:p w14:paraId="11B4F2D0">
      <w:pPr>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主持人按下列程序进行开标：</w:t>
      </w:r>
    </w:p>
    <w:p w14:paraId="5BFF955E">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bookmarkStart w:id="165" w:name="_Toc506120418"/>
      <w:r>
        <w:rPr>
          <w:rFonts w:hint="eastAsia" w:ascii="宋体" w:hAnsi="宋体" w:eastAsia="宋体" w:cs="宋体"/>
          <w:color w:val="000000" w:themeColor="text1"/>
          <w:sz w:val="22"/>
          <w:szCs w:val="22"/>
          <w:highlight w:val="none"/>
          <w14:textFill>
            <w14:solidFill>
              <w14:schemeClr w14:val="tx1"/>
            </w14:solidFill>
          </w14:textFill>
        </w:rPr>
        <w:t>1)主持人宣布会议开始；</w:t>
      </w:r>
    </w:p>
    <w:p w14:paraId="59B4892D">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w:t>
      </w:r>
      <w:r>
        <w:rPr>
          <w:rFonts w:hint="eastAsia" w:ascii="宋体" w:hAnsi="宋体" w:eastAsia="宋体" w:cs="宋体"/>
          <w:color w:val="000000" w:themeColor="text1"/>
          <w:sz w:val="22"/>
          <w:szCs w:val="22"/>
          <w:highlight w:val="none"/>
          <w:lang w:eastAsia="zh-CN"/>
          <w14:textFill>
            <w14:solidFill>
              <w14:schemeClr w14:val="tx1"/>
            </w14:solidFill>
          </w14:textFill>
        </w:rPr>
        <w:t>代理机构</w:t>
      </w:r>
      <w:r>
        <w:rPr>
          <w:rFonts w:hint="eastAsia" w:ascii="宋体" w:hAnsi="宋体" w:eastAsia="宋体" w:cs="宋体"/>
          <w:color w:val="000000" w:themeColor="text1"/>
          <w:sz w:val="22"/>
          <w:szCs w:val="22"/>
          <w:highlight w:val="none"/>
          <w14:textFill>
            <w14:solidFill>
              <w14:schemeClr w14:val="tx1"/>
            </w14:solidFill>
          </w14:textFill>
        </w:rPr>
        <w:t>确认投标人法定代表人(或委托代理人)到场情况；</w:t>
      </w:r>
    </w:p>
    <w:p w14:paraId="27F5FC6A">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3)由</w:t>
      </w:r>
      <w:r>
        <w:rPr>
          <w:rFonts w:hint="eastAsia" w:ascii="宋体" w:hAnsi="宋体" w:eastAsia="宋体" w:cs="宋体"/>
          <w:color w:val="000000" w:themeColor="text1"/>
          <w:sz w:val="22"/>
          <w:szCs w:val="22"/>
          <w:highlight w:val="none"/>
          <w:lang w:eastAsia="zh-CN"/>
          <w14:textFill>
            <w14:solidFill>
              <w14:schemeClr w14:val="tx1"/>
            </w14:solidFill>
          </w14:textFill>
        </w:rPr>
        <w:t>代理机构</w:t>
      </w:r>
      <w:r>
        <w:rPr>
          <w:rFonts w:hint="eastAsia" w:ascii="宋体" w:hAnsi="宋体" w:eastAsia="宋体" w:cs="宋体"/>
          <w:color w:val="000000" w:themeColor="text1"/>
          <w:sz w:val="22"/>
          <w:szCs w:val="22"/>
          <w:highlight w:val="none"/>
          <w14:textFill>
            <w14:solidFill>
              <w14:schemeClr w14:val="tx1"/>
            </w14:solidFill>
          </w14:textFill>
        </w:rPr>
        <w:t>检查投标文件的密封情况并宣布投标文件密封性；</w:t>
      </w:r>
    </w:p>
    <w:p w14:paraId="3FBE4DC0">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4)经确认无误，且有效投标文件应达到三家及以上时，才可开标，否则视为本次招标缺乏有效竞争而需重新组织招标；</w:t>
      </w:r>
    </w:p>
    <w:p w14:paraId="2A39E9C5">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)工作人员启封各投标人</w:t>
      </w:r>
      <w:r>
        <w:rPr>
          <w:rFonts w:hint="eastAsia" w:ascii="宋体" w:hAnsi="宋体" w:eastAsia="宋体" w:cs="宋体"/>
          <w:color w:val="000000" w:themeColor="text1"/>
          <w:sz w:val="22"/>
          <w:szCs w:val="22"/>
          <w:highlight w:val="none"/>
          <w:lang w:eastAsia="zh-CN"/>
          <w14:textFill>
            <w14:solidFill>
              <w14:schemeClr w14:val="tx1"/>
            </w14:solidFill>
          </w14:textFill>
        </w:rPr>
        <w:t>投标文件</w:t>
      </w:r>
      <w:r>
        <w:rPr>
          <w:rFonts w:hint="eastAsia" w:ascii="宋体" w:hAnsi="宋体" w:eastAsia="宋体" w:cs="宋体"/>
          <w:color w:val="000000" w:themeColor="text1"/>
          <w:sz w:val="22"/>
          <w:szCs w:val="22"/>
          <w:highlight w:val="none"/>
          <w14:textFill>
            <w14:solidFill>
              <w14:schemeClr w14:val="tx1"/>
            </w14:solidFill>
          </w14:textFill>
        </w:rPr>
        <w:t>，按招标文件规定进行编制、印章、份数等符合性检查，并送交评标委员会，评委对</w:t>
      </w:r>
      <w:r>
        <w:rPr>
          <w:rFonts w:hint="eastAsia" w:ascii="宋体" w:hAnsi="宋体" w:eastAsia="宋体" w:cs="宋体"/>
          <w:color w:val="000000" w:themeColor="text1"/>
          <w:sz w:val="22"/>
          <w:szCs w:val="22"/>
          <w:highlight w:val="none"/>
          <w:lang w:eastAsia="zh-CN"/>
          <w14:textFill>
            <w14:solidFill>
              <w14:schemeClr w14:val="tx1"/>
            </w14:solidFill>
          </w14:textFill>
        </w:rPr>
        <w:t>投标文件</w:t>
      </w:r>
      <w:r>
        <w:rPr>
          <w:rFonts w:hint="eastAsia" w:ascii="宋体" w:hAnsi="宋体" w:eastAsia="宋体" w:cs="宋体"/>
          <w:color w:val="000000" w:themeColor="text1"/>
          <w:sz w:val="22"/>
          <w:szCs w:val="22"/>
          <w:highlight w:val="none"/>
          <w14:textFill>
            <w14:solidFill>
              <w14:schemeClr w14:val="tx1"/>
            </w14:solidFill>
          </w14:textFill>
        </w:rPr>
        <w:t>进行审查、评分；</w:t>
      </w:r>
    </w:p>
    <w:p w14:paraId="0984B7C1">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6</w:t>
      </w:r>
      <w:r>
        <w:rPr>
          <w:rFonts w:hint="eastAsia" w:ascii="宋体" w:hAnsi="宋体" w:eastAsia="宋体" w:cs="宋体"/>
          <w:color w:val="000000" w:themeColor="text1"/>
          <w:sz w:val="22"/>
          <w:szCs w:val="22"/>
          <w:highlight w:val="none"/>
          <w14:textFill>
            <w14:solidFill>
              <w14:schemeClr w14:val="tx1"/>
            </w14:solidFill>
          </w14:textFill>
        </w:rPr>
        <w:t>)工作人员</w:t>
      </w:r>
      <w:r>
        <w:rPr>
          <w:rFonts w:hint="eastAsia" w:ascii="宋体" w:hAnsi="宋体" w:eastAsia="宋体" w:cs="宋体"/>
          <w:color w:val="000000" w:themeColor="text1"/>
          <w:sz w:val="22"/>
          <w:szCs w:val="22"/>
          <w:highlight w:val="none"/>
          <w:lang w:val="en-US" w:eastAsia="zh-CN"/>
          <w14:textFill>
            <w14:solidFill>
              <w14:schemeClr w14:val="tx1"/>
            </w14:solidFill>
          </w14:textFill>
        </w:rPr>
        <w:t>公布</w:t>
      </w:r>
      <w:r>
        <w:rPr>
          <w:rFonts w:hint="eastAsia" w:ascii="宋体" w:hAnsi="宋体" w:eastAsia="宋体" w:cs="宋体"/>
          <w:color w:val="000000" w:themeColor="text1"/>
          <w:sz w:val="22"/>
          <w:szCs w:val="22"/>
          <w:highlight w:val="none"/>
          <w14:textFill>
            <w14:solidFill>
              <w14:schemeClr w14:val="tx1"/>
            </w14:solidFill>
          </w14:textFill>
        </w:rPr>
        <w:t>综合得分，确定</w:t>
      </w:r>
      <w:r>
        <w:rPr>
          <w:rFonts w:hint="eastAsia" w:ascii="宋体" w:hAnsi="宋体" w:eastAsia="宋体" w:cs="宋体"/>
          <w:color w:val="000000" w:themeColor="text1"/>
          <w:sz w:val="22"/>
          <w:szCs w:val="22"/>
          <w:highlight w:val="none"/>
          <w:lang w:val="en-US" w:eastAsia="zh-CN"/>
          <w14:textFill>
            <w14:solidFill>
              <w14:schemeClr w14:val="tx1"/>
            </w14:solidFill>
          </w14:textFill>
        </w:rPr>
        <w:t>各标段</w:t>
      </w:r>
      <w:r>
        <w:rPr>
          <w:rFonts w:hint="eastAsia" w:ascii="宋体" w:hAnsi="宋体" w:eastAsia="宋体" w:cs="宋体"/>
          <w:color w:val="000000" w:themeColor="text1"/>
          <w:sz w:val="22"/>
          <w:szCs w:val="22"/>
          <w:highlight w:val="none"/>
          <w14:textFill>
            <w14:solidFill>
              <w14:schemeClr w14:val="tx1"/>
            </w14:solidFill>
          </w14:textFill>
        </w:rPr>
        <w:t>中标候选人；</w:t>
      </w:r>
    </w:p>
    <w:p w14:paraId="514580D1">
      <w:pPr>
        <w:snapToGrid w:val="0"/>
        <w:spacing w:line="450" w:lineRule="exact"/>
        <w:ind w:firstLine="44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7</w:t>
      </w:r>
      <w:r>
        <w:rPr>
          <w:rFonts w:hint="eastAsia" w:ascii="宋体" w:hAnsi="宋体" w:eastAsia="宋体" w:cs="宋体"/>
          <w:color w:val="000000" w:themeColor="text1"/>
          <w:sz w:val="22"/>
          <w:szCs w:val="22"/>
          <w:highlight w:val="none"/>
          <w14:textFill>
            <w14:solidFill>
              <w14:schemeClr w14:val="tx1"/>
            </w14:solidFill>
          </w14:textFill>
        </w:rPr>
        <w:t>)招标人代表宣布中标候选人，投标单位确认；</w:t>
      </w:r>
    </w:p>
    <w:p w14:paraId="7617F8A9">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66" w:name="_Toc10620"/>
      <w:r>
        <w:rPr>
          <w:rFonts w:hint="eastAsia" w:ascii="宋体" w:hAnsi="宋体" w:eastAsia="宋体" w:cs="宋体"/>
          <w:b/>
          <w:color w:val="000000" w:themeColor="text1"/>
          <w:kern w:val="2"/>
          <w:szCs w:val="21"/>
          <w:highlight w:val="none"/>
          <w14:textFill>
            <w14:solidFill>
              <w14:schemeClr w14:val="tx1"/>
            </w14:solidFill>
          </w14:textFill>
        </w:rPr>
        <w:t>5.3 开标异议</w:t>
      </w:r>
      <w:bookmarkEnd w:id="165"/>
      <w:bookmarkEnd w:id="166"/>
    </w:p>
    <w:p w14:paraId="38987882">
      <w:pPr>
        <w:wordWrap w:val="0"/>
        <w:snapToGrid w:val="0"/>
        <w:spacing w:line="450" w:lineRule="exact"/>
        <w:ind w:firstLine="376" w:firstLineChars="171"/>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投标人对开标有异议的，应当在开标现场提出，招标人当场作出答复，并制作记录。</w:t>
      </w:r>
    </w:p>
    <w:p w14:paraId="3E86B6BE">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67" w:name="_Toc361338268"/>
      <w:bookmarkStart w:id="168" w:name="_Toc152042338"/>
      <w:bookmarkStart w:id="169" w:name="_Toc152045562"/>
      <w:bookmarkStart w:id="170" w:name="_Toc144974530"/>
      <w:r>
        <w:rPr>
          <w:rFonts w:hint="eastAsia" w:ascii="宋体" w:hAnsi="宋体" w:eastAsia="宋体" w:cs="宋体"/>
          <w:b/>
          <w:color w:val="000000" w:themeColor="text1"/>
          <w:kern w:val="2"/>
          <w:szCs w:val="21"/>
          <w:highlight w:val="none"/>
          <w14:textFill>
            <w14:solidFill>
              <w14:schemeClr w14:val="tx1"/>
            </w14:solidFill>
          </w14:textFill>
        </w:rPr>
        <w:t>6. 评标</w:t>
      </w:r>
      <w:bookmarkEnd w:id="167"/>
      <w:bookmarkEnd w:id="168"/>
      <w:bookmarkEnd w:id="169"/>
      <w:bookmarkEnd w:id="170"/>
    </w:p>
    <w:p w14:paraId="6EE6852B">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71" w:name="_Toc361338269"/>
      <w:bookmarkStart w:id="172" w:name="_Toc22345"/>
      <w:bookmarkStart w:id="173" w:name="_Toc506120420"/>
      <w:bookmarkStart w:id="174" w:name="_Toc152042339"/>
      <w:bookmarkStart w:id="175" w:name="_Toc144974531"/>
      <w:bookmarkStart w:id="176" w:name="_Toc152045563"/>
      <w:r>
        <w:rPr>
          <w:rFonts w:hint="eastAsia" w:ascii="宋体" w:hAnsi="宋体" w:eastAsia="宋体" w:cs="宋体"/>
          <w:b/>
          <w:color w:val="000000" w:themeColor="text1"/>
          <w:kern w:val="2"/>
          <w:szCs w:val="21"/>
          <w:highlight w:val="none"/>
          <w14:textFill>
            <w14:solidFill>
              <w14:schemeClr w14:val="tx1"/>
            </w14:solidFill>
          </w14:textFill>
        </w:rPr>
        <w:t>6.1 评标委员会</w:t>
      </w:r>
      <w:bookmarkEnd w:id="171"/>
      <w:bookmarkEnd w:id="172"/>
      <w:bookmarkEnd w:id="173"/>
      <w:bookmarkEnd w:id="174"/>
      <w:bookmarkEnd w:id="175"/>
      <w:bookmarkEnd w:id="176"/>
    </w:p>
    <w:p w14:paraId="49DA8084">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6.1.1 评标由招标人依法组建的评标委员会负责。评标委员会成员人数以及技术、经济等方面专家的确定方式见投标人须知前附表。</w:t>
      </w:r>
    </w:p>
    <w:p w14:paraId="1F52DE81">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6.1.2 评标委员会成员有下列情形之一的，应当回避：</w:t>
      </w:r>
    </w:p>
    <w:p w14:paraId="73D3AB09">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（1）招标人或投标人的主要负责人的近亲属；</w:t>
      </w:r>
    </w:p>
    <w:p w14:paraId="63896A7F">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（2）项目主管部门或者行政监督部门的人员；</w:t>
      </w:r>
    </w:p>
    <w:p w14:paraId="74141C7A">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（3）与投标人有经济利益关系，可能影响投标评审公正性的；</w:t>
      </w:r>
    </w:p>
    <w:p w14:paraId="02C025EB">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（4）曾因在招标、评标以及其他与招标投标有关活动中从事违法行为而受过行政处罚或刑事处罚的。</w:t>
      </w:r>
    </w:p>
    <w:p w14:paraId="71462AD5">
      <w:pPr>
        <w:pStyle w:val="42"/>
        <w:spacing w:line="450" w:lineRule="exact"/>
        <w:jc w:val="both"/>
        <w:rPr>
          <w:rFonts w:hint="eastAsia" w:ascii="宋体" w:hAnsi="宋体" w:eastAsia="宋体" w:cs="宋体"/>
          <w:color w:val="000000" w:themeColor="text1"/>
          <w:highlight w:val="none"/>
          <w14:textFill>
            <w14:solidFill>
              <w14:schemeClr w14:val="tx1"/>
            </w14:solidFill>
          </w14:textFill>
        </w:rPr>
      </w:pPr>
      <w:bookmarkStart w:id="177" w:name="_Toc144974532"/>
      <w:bookmarkStart w:id="178" w:name="_Toc361338270"/>
      <w:bookmarkStart w:id="179" w:name="_Toc506120421"/>
      <w:bookmarkStart w:id="180" w:name="_Toc152045564"/>
      <w:bookmarkStart w:id="181" w:name="_Toc152042340"/>
      <w:bookmarkStart w:id="182" w:name="_Toc1636"/>
      <w:r>
        <w:rPr>
          <w:rFonts w:hint="eastAsia" w:ascii="宋体" w:hAnsi="宋体" w:eastAsia="宋体" w:cs="宋体"/>
          <w:b/>
          <w:color w:val="000000" w:themeColor="text1"/>
          <w:kern w:val="2"/>
          <w:szCs w:val="21"/>
          <w:highlight w:val="none"/>
          <w14:textFill>
            <w14:solidFill>
              <w14:schemeClr w14:val="tx1"/>
            </w14:solidFill>
          </w14:textFill>
        </w:rPr>
        <w:t>6.2 评标原则</w:t>
      </w:r>
      <w:bookmarkEnd w:id="177"/>
      <w:bookmarkEnd w:id="178"/>
      <w:bookmarkEnd w:id="179"/>
      <w:bookmarkEnd w:id="180"/>
      <w:bookmarkEnd w:id="181"/>
      <w:bookmarkEnd w:id="182"/>
      <w:r>
        <w:rPr>
          <w:rFonts w:hint="eastAsia" w:ascii="宋体" w:hAnsi="宋体" w:eastAsia="宋体" w:cs="宋体"/>
          <w:color w:val="000000" w:themeColor="text1"/>
          <w:highlight w:val="none"/>
          <w14:textFill>
            <w14:solidFill>
              <w14:schemeClr w14:val="tx1"/>
            </w14:solidFill>
          </w14:textFill>
        </w:rPr>
        <w:tab/>
      </w:r>
    </w:p>
    <w:p w14:paraId="054E376D">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评标活动遵循公平、公正、科学和择优的原则。</w:t>
      </w:r>
    </w:p>
    <w:p w14:paraId="73BCC566">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83" w:name="_Toc152045565"/>
      <w:bookmarkStart w:id="184" w:name="_Toc506120422"/>
      <w:bookmarkStart w:id="185" w:name="_Toc18913"/>
      <w:bookmarkStart w:id="186" w:name="_Toc361338271"/>
      <w:bookmarkStart w:id="187" w:name="_Toc144974533"/>
      <w:bookmarkStart w:id="188" w:name="_Toc152042341"/>
      <w:r>
        <w:rPr>
          <w:rFonts w:hint="eastAsia" w:ascii="宋体" w:hAnsi="宋体" w:eastAsia="宋体" w:cs="宋体"/>
          <w:b/>
          <w:color w:val="000000" w:themeColor="text1"/>
          <w:kern w:val="2"/>
          <w:szCs w:val="21"/>
          <w:highlight w:val="none"/>
          <w14:textFill>
            <w14:solidFill>
              <w14:schemeClr w14:val="tx1"/>
            </w14:solidFill>
          </w14:textFill>
        </w:rPr>
        <w:t>6.3 评标</w:t>
      </w:r>
      <w:bookmarkEnd w:id="183"/>
      <w:bookmarkEnd w:id="184"/>
      <w:bookmarkEnd w:id="185"/>
      <w:bookmarkEnd w:id="186"/>
      <w:bookmarkEnd w:id="187"/>
      <w:bookmarkEnd w:id="188"/>
    </w:p>
    <w:p w14:paraId="64738798">
      <w:pPr>
        <w:snapToGrid w:val="0"/>
        <w:spacing w:line="450" w:lineRule="exact"/>
        <w:ind w:firstLine="44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评标方法见投标人须知前附表，评标委员会按照招标文件规定的评标标准和方法，客观、公正地对投标文件提出评审意见。招标文件没有规定的评标标准和方法，不作为评标依据。</w:t>
      </w:r>
    </w:p>
    <w:p w14:paraId="5DD06613">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89" w:name="_Toc27695"/>
      <w:bookmarkStart w:id="190" w:name="_Toc506120423"/>
      <w:r>
        <w:rPr>
          <w:rFonts w:hint="eastAsia" w:ascii="宋体" w:hAnsi="宋体" w:eastAsia="宋体" w:cs="宋体"/>
          <w:b/>
          <w:color w:val="000000" w:themeColor="text1"/>
          <w:kern w:val="2"/>
          <w:szCs w:val="21"/>
          <w:highlight w:val="none"/>
          <w14:textFill>
            <w14:solidFill>
              <w14:schemeClr w14:val="tx1"/>
            </w14:solidFill>
          </w14:textFill>
        </w:rPr>
        <w:t>6.4 投标文件的澄清</w:t>
      </w:r>
      <w:bookmarkEnd w:id="189"/>
      <w:bookmarkEnd w:id="190"/>
    </w:p>
    <w:p w14:paraId="7517502E">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6.4.1评标过程中，评标委员会可以要求投标人对其投标文件中含义不明确的内容或与招标文件的偏差作必要的澄清或说明。</w:t>
      </w:r>
    </w:p>
    <w:p w14:paraId="2EF72255">
      <w:pPr>
        <w:snapToGrid w:val="0"/>
        <w:spacing w:line="450" w:lineRule="exact"/>
        <w:ind w:firstLine="44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6.4.2投标人对澄清的问题需书面答复的，应由投标人法定代表人或其授权代表人签名确认，并作为投标文件的组成部分。</w:t>
      </w:r>
    </w:p>
    <w:p w14:paraId="02D0EE76">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91" w:name="_Toc361338272"/>
      <w:bookmarkStart w:id="192" w:name="_Toc506120277"/>
      <w:bookmarkStart w:id="193" w:name="_Toc152045566"/>
      <w:bookmarkStart w:id="194" w:name="_Toc144974534"/>
      <w:bookmarkStart w:id="195" w:name="_Toc152042342"/>
      <w:r>
        <w:rPr>
          <w:rFonts w:hint="eastAsia" w:ascii="宋体" w:hAnsi="宋体" w:eastAsia="宋体" w:cs="宋体"/>
          <w:b/>
          <w:color w:val="000000" w:themeColor="text1"/>
          <w:kern w:val="2"/>
          <w:szCs w:val="21"/>
          <w:highlight w:val="none"/>
          <w14:textFill>
            <w14:solidFill>
              <w14:schemeClr w14:val="tx1"/>
            </w14:solidFill>
          </w14:textFill>
        </w:rPr>
        <w:t>7. 合同授予</w:t>
      </w:r>
      <w:bookmarkEnd w:id="191"/>
      <w:bookmarkEnd w:id="192"/>
      <w:bookmarkEnd w:id="193"/>
      <w:bookmarkEnd w:id="194"/>
      <w:bookmarkEnd w:id="195"/>
    </w:p>
    <w:p w14:paraId="1614A88F">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196" w:name="_Toc506120425"/>
      <w:bookmarkStart w:id="197" w:name="_Toc152042343"/>
      <w:bookmarkStart w:id="198" w:name="_Toc506120278"/>
      <w:bookmarkStart w:id="199" w:name="_Toc17945"/>
      <w:bookmarkStart w:id="200" w:name="_Toc152045567"/>
      <w:bookmarkStart w:id="201" w:name="_Toc361338273"/>
      <w:bookmarkStart w:id="202" w:name="_Toc144974535"/>
      <w:r>
        <w:rPr>
          <w:rFonts w:hint="eastAsia" w:ascii="宋体" w:hAnsi="宋体" w:eastAsia="宋体" w:cs="宋体"/>
          <w:b/>
          <w:color w:val="000000" w:themeColor="text1"/>
          <w:kern w:val="2"/>
          <w:szCs w:val="21"/>
          <w:highlight w:val="none"/>
          <w14:textFill>
            <w14:solidFill>
              <w14:schemeClr w14:val="tx1"/>
            </w14:solidFill>
          </w14:textFill>
        </w:rPr>
        <w:t>7.1 定标方式</w:t>
      </w:r>
      <w:bookmarkEnd w:id="196"/>
      <w:bookmarkEnd w:id="197"/>
      <w:bookmarkEnd w:id="198"/>
      <w:bookmarkEnd w:id="199"/>
      <w:bookmarkEnd w:id="200"/>
      <w:bookmarkEnd w:id="201"/>
      <w:bookmarkEnd w:id="202"/>
    </w:p>
    <w:p w14:paraId="7775BE75">
      <w:pPr>
        <w:snapToGrid w:val="0"/>
        <w:spacing w:line="450" w:lineRule="exact"/>
        <w:ind w:firstLine="466" w:firstLineChars="212"/>
        <w:rPr>
          <w:rFonts w:hint="eastAsia" w:ascii="宋体" w:hAnsi="宋体" w:eastAsia="宋体" w:cs="宋体"/>
          <w:color w:val="000000" w:themeColor="text1"/>
          <w:sz w:val="22"/>
          <w:szCs w:val="22"/>
          <w:highlight w:val="none"/>
          <w14:textFill>
            <w14:solidFill>
              <w14:schemeClr w14:val="tx1"/>
            </w14:solidFill>
          </w14:textFill>
        </w:rPr>
      </w:pPr>
      <w:bookmarkStart w:id="203" w:name="_Toc361338274"/>
      <w:bookmarkStart w:id="204" w:name="_Toc236"/>
      <w:bookmarkStart w:id="205" w:name="_Toc506120426"/>
      <w:bookmarkStart w:id="206" w:name="_Toc506120279"/>
      <w:r>
        <w:rPr>
          <w:rFonts w:hint="eastAsia" w:ascii="宋体" w:hAnsi="宋体" w:eastAsia="宋体" w:cs="宋体"/>
          <w:color w:val="000000" w:themeColor="text1"/>
          <w:sz w:val="22"/>
          <w:szCs w:val="22"/>
          <w:highlight w:val="none"/>
          <w14:textFill>
            <w14:solidFill>
              <w14:schemeClr w14:val="tx1"/>
            </w14:solidFill>
          </w14:textFill>
        </w:rPr>
        <w:t>每个片区中标候选人1家，投标人不能重复中标，如已在其它片区是第1中标候选人的，将自动退出后续片区的评审，以此类推。</w:t>
      </w:r>
    </w:p>
    <w:p w14:paraId="2EA769B3">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r>
        <w:rPr>
          <w:rFonts w:hint="eastAsia" w:ascii="宋体" w:hAnsi="宋体" w:eastAsia="宋体" w:cs="宋体"/>
          <w:b/>
          <w:color w:val="000000" w:themeColor="text1"/>
          <w:kern w:val="2"/>
          <w:szCs w:val="21"/>
          <w:highlight w:val="none"/>
          <w14:textFill>
            <w14:solidFill>
              <w14:schemeClr w14:val="tx1"/>
            </w14:solidFill>
          </w14:textFill>
        </w:rPr>
        <w:t>7.2 中标公示</w:t>
      </w:r>
      <w:bookmarkEnd w:id="203"/>
      <w:bookmarkEnd w:id="204"/>
      <w:bookmarkEnd w:id="205"/>
      <w:bookmarkEnd w:id="206"/>
    </w:p>
    <w:p w14:paraId="4E691147">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bookmarkStart w:id="207" w:name="_Toc152045569"/>
      <w:bookmarkStart w:id="208" w:name="_Toc229646751"/>
      <w:bookmarkStart w:id="209" w:name="_Toc152042345"/>
      <w:bookmarkStart w:id="210" w:name="_Toc144974537"/>
      <w:r>
        <w:rPr>
          <w:rFonts w:hint="eastAsia" w:ascii="宋体" w:hAnsi="宋体" w:eastAsia="宋体" w:cs="宋体"/>
          <w:color w:val="000000" w:themeColor="text1"/>
          <w:sz w:val="22"/>
          <w:szCs w:val="22"/>
          <w:highlight w:val="none"/>
          <w14:textFill>
            <w14:solidFill>
              <w14:schemeClr w14:val="tx1"/>
            </w14:solidFill>
          </w14:textFill>
        </w:rPr>
        <w:t>招标人自确定中标候选人之日起，应在与发布招标公告一致的媒介上发布中标公示，公示期不少于</w:t>
      </w:r>
      <w:r>
        <w:rPr>
          <w:rFonts w:hint="eastAsia" w:ascii="宋体" w:hAnsi="宋体" w:eastAsia="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日。</w:t>
      </w:r>
    </w:p>
    <w:bookmarkEnd w:id="207"/>
    <w:bookmarkEnd w:id="208"/>
    <w:bookmarkEnd w:id="209"/>
    <w:bookmarkEnd w:id="210"/>
    <w:p w14:paraId="12BF6BD5">
      <w:pPr>
        <w:wordWrap w:val="0"/>
        <w:snapToGrid w:val="0"/>
        <w:spacing w:line="450" w:lineRule="exact"/>
        <w:ind w:firstLine="44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投标人或者其他利害关系人对评标结果有异议的，应当在中标公示期间提出。招标人将在收到异议之日起3日内给予答复并制作记录。</w:t>
      </w:r>
    </w:p>
    <w:p w14:paraId="32437662">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11" w:name="_Toc13263"/>
      <w:bookmarkStart w:id="212" w:name="_Toc361338275"/>
      <w:bookmarkStart w:id="213" w:name="_Toc506120427"/>
      <w:bookmarkStart w:id="214" w:name="_Toc152045568"/>
      <w:bookmarkStart w:id="215" w:name="_Toc144974536"/>
      <w:bookmarkStart w:id="216" w:name="_Toc506120280"/>
      <w:bookmarkStart w:id="217" w:name="_Toc152042344"/>
      <w:r>
        <w:rPr>
          <w:rFonts w:hint="eastAsia" w:ascii="宋体" w:hAnsi="宋体" w:eastAsia="宋体" w:cs="宋体"/>
          <w:b/>
          <w:color w:val="000000" w:themeColor="text1"/>
          <w:kern w:val="2"/>
          <w:szCs w:val="21"/>
          <w:highlight w:val="none"/>
          <w14:textFill>
            <w14:solidFill>
              <w14:schemeClr w14:val="tx1"/>
            </w14:solidFill>
          </w14:textFill>
        </w:rPr>
        <w:t>7.3 中标通知</w:t>
      </w:r>
      <w:bookmarkEnd w:id="211"/>
      <w:bookmarkEnd w:id="212"/>
      <w:bookmarkEnd w:id="213"/>
      <w:bookmarkEnd w:id="214"/>
      <w:bookmarkEnd w:id="215"/>
      <w:bookmarkEnd w:id="216"/>
      <w:bookmarkEnd w:id="217"/>
    </w:p>
    <w:p w14:paraId="1CD2179F">
      <w:pPr>
        <w:pStyle w:val="6"/>
        <w:wordWrap w:val="0"/>
        <w:spacing w:line="450" w:lineRule="exac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14:textFill>
            <w14:solidFill>
              <w14:schemeClr w14:val="tx1"/>
            </w14:solidFill>
          </w14:textFill>
        </w:rPr>
        <w:t>7.3</w:t>
      </w:r>
      <w:r>
        <w:rPr>
          <w:rFonts w:hint="eastAsia" w:ascii="宋体" w:hAnsi="宋体" w:eastAsia="宋体" w:cs="宋体"/>
          <w:color w:val="000000" w:themeColor="text1"/>
          <w:sz w:val="22"/>
          <w:szCs w:val="22"/>
          <w:highlight w:val="none"/>
          <w14:textFill>
            <w14:solidFill>
              <w14:schemeClr w14:val="tx1"/>
            </w14:solidFill>
          </w14:textFill>
        </w:rPr>
        <w:t>.1中标人确定后，招标人将在投标有效期内以书面形式向中标人发出中标通知书。</w:t>
      </w:r>
    </w:p>
    <w:p w14:paraId="4F76EC50">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18" w:name="_Toc506120281"/>
      <w:bookmarkStart w:id="219" w:name="_Toc506120428"/>
      <w:bookmarkStart w:id="220" w:name="_Toc22150"/>
      <w:r>
        <w:rPr>
          <w:rFonts w:hint="eastAsia" w:ascii="宋体" w:hAnsi="宋体" w:eastAsia="宋体" w:cs="宋体"/>
          <w:b/>
          <w:color w:val="000000" w:themeColor="text1"/>
          <w:kern w:val="2"/>
          <w:szCs w:val="21"/>
          <w:highlight w:val="none"/>
          <w14:textFill>
            <w14:solidFill>
              <w14:schemeClr w14:val="tx1"/>
            </w14:solidFill>
          </w14:textFill>
        </w:rPr>
        <w:t>7.4 履约担保：</w:t>
      </w: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履约保证金贰万元整</w:t>
      </w:r>
      <w:r>
        <w:rPr>
          <w:rFonts w:hint="eastAsia" w:ascii="宋体" w:hAnsi="宋体" w:eastAsia="宋体" w:cs="宋体"/>
          <w:b/>
          <w:color w:val="000000" w:themeColor="text1"/>
          <w:kern w:val="2"/>
          <w:szCs w:val="21"/>
          <w:highlight w:val="none"/>
          <w14:textFill>
            <w14:solidFill>
              <w14:schemeClr w14:val="tx1"/>
            </w14:solidFill>
          </w14:textFill>
        </w:rPr>
        <w:t>。</w:t>
      </w:r>
      <w:bookmarkEnd w:id="218"/>
      <w:bookmarkEnd w:id="219"/>
      <w:bookmarkEnd w:id="220"/>
    </w:p>
    <w:p w14:paraId="6578DA19">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21" w:name="_Toc506120282"/>
      <w:bookmarkStart w:id="222" w:name="_Toc19441"/>
      <w:bookmarkStart w:id="223" w:name="_Toc361338276"/>
      <w:bookmarkStart w:id="224" w:name="_Toc506120429"/>
      <w:r>
        <w:rPr>
          <w:rFonts w:hint="eastAsia" w:ascii="宋体" w:hAnsi="宋体" w:eastAsia="宋体" w:cs="宋体"/>
          <w:b/>
          <w:color w:val="000000" w:themeColor="text1"/>
          <w:kern w:val="2"/>
          <w:szCs w:val="21"/>
          <w:highlight w:val="none"/>
          <w14:textFill>
            <w14:solidFill>
              <w14:schemeClr w14:val="tx1"/>
            </w14:solidFill>
          </w14:textFill>
        </w:rPr>
        <w:t>7.5 签订合同</w:t>
      </w:r>
      <w:bookmarkEnd w:id="221"/>
      <w:bookmarkEnd w:id="222"/>
      <w:bookmarkEnd w:id="223"/>
      <w:bookmarkEnd w:id="224"/>
    </w:p>
    <w:p w14:paraId="0F8D7F85">
      <w:pPr>
        <w:wordWrap w:val="0"/>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7.5.1招标人和中标人应当自中标通知书发出之日起</w:t>
      </w:r>
      <w:r>
        <w:rPr>
          <w:rFonts w:hint="eastAsia" w:ascii="宋体" w:hAnsi="宋体" w:eastAsia="宋体" w:cs="宋体"/>
          <w:color w:val="000000" w:themeColor="text1"/>
          <w:sz w:val="22"/>
          <w:szCs w:val="22"/>
          <w:highlight w:val="none"/>
          <w:lang w:val="en-US" w:eastAsia="zh-CN"/>
          <w14:textFill>
            <w14:solidFill>
              <w14:schemeClr w14:val="tx1"/>
            </w14:solidFill>
          </w14:textFill>
        </w:rPr>
        <w:t>15</w:t>
      </w:r>
      <w:r>
        <w:rPr>
          <w:rFonts w:hint="eastAsia" w:ascii="宋体" w:hAnsi="宋体" w:eastAsia="宋体" w:cs="宋体"/>
          <w:color w:val="000000" w:themeColor="text1"/>
          <w:sz w:val="22"/>
          <w:szCs w:val="22"/>
          <w:highlight w:val="none"/>
          <w14:textFill>
            <w14:solidFill>
              <w14:schemeClr w14:val="tx1"/>
            </w14:solidFill>
          </w14:textFill>
        </w:rPr>
        <w:t>天内，根据招标文件和中标人的投标文件订立书面合同。</w:t>
      </w:r>
    </w:p>
    <w:p w14:paraId="7FC4CE24">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7.5.2中标人在规定时间内不与招标人签订合同，又无正当理由，或因不可抗力原因。招标人取消其中标资格。</w:t>
      </w:r>
    </w:p>
    <w:p w14:paraId="1FE6A01A">
      <w:pPr>
        <w:snapToGrid w:val="0"/>
        <w:spacing w:line="450" w:lineRule="exact"/>
        <w:ind w:firstLine="480"/>
        <w:rPr>
          <w:rFonts w:hint="eastAsia" w:ascii="宋体" w:hAnsi="宋体" w:eastAsia="宋体" w:cs="宋体"/>
          <w:snapToGrid w:val="0"/>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7.5.3</w:t>
      </w:r>
      <w:r>
        <w:rPr>
          <w:rFonts w:hint="eastAsia" w:ascii="宋体" w:hAnsi="宋体" w:eastAsia="宋体" w:cs="宋体"/>
          <w:snapToGrid w:val="0"/>
          <w:color w:val="000000" w:themeColor="text1"/>
          <w:sz w:val="22"/>
          <w:szCs w:val="22"/>
          <w:highlight w:val="none"/>
          <w14:textFill>
            <w14:solidFill>
              <w14:schemeClr w14:val="tx1"/>
            </w14:solidFill>
          </w14:textFill>
        </w:rPr>
        <w:t>中标人应按照合同约定履行义务，不得将中标项目转让（转包）给他人。属于下列情况之一者，招标人将处以罚款同时</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取消其</w:t>
      </w:r>
      <w:r>
        <w:rPr>
          <w:rFonts w:hint="eastAsia" w:ascii="宋体" w:hAnsi="宋体" w:eastAsia="宋体" w:cs="宋体"/>
          <w:snapToGrid w:val="0"/>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资格</w:t>
      </w:r>
      <w:r>
        <w:rPr>
          <w:rFonts w:hint="eastAsia" w:ascii="宋体" w:hAnsi="宋体" w:eastAsia="宋体" w:cs="宋体"/>
          <w:snapToGrid w:val="0"/>
          <w:color w:val="000000" w:themeColor="text1"/>
          <w:sz w:val="22"/>
          <w:szCs w:val="22"/>
          <w:highlight w:val="none"/>
          <w14:textFill>
            <w14:solidFill>
              <w14:schemeClr w14:val="tx1"/>
            </w14:solidFill>
          </w14:textFill>
        </w:rPr>
        <w:t>：</w:t>
      </w:r>
    </w:p>
    <w:p w14:paraId="5C10B602">
      <w:pPr>
        <w:snapToGrid w:val="0"/>
        <w:spacing w:line="450" w:lineRule="exact"/>
        <w:ind w:firstLine="482"/>
        <w:rPr>
          <w:rFonts w:hint="eastAsia" w:ascii="宋体" w:hAnsi="宋体" w:eastAsia="宋体" w:cs="宋体"/>
          <w:snapToGrid w:val="0"/>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（1）合同执行期间拒绝配合招标人管理的；</w:t>
      </w:r>
    </w:p>
    <w:p w14:paraId="737EB9F5">
      <w:pPr>
        <w:snapToGrid w:val="0"/>
        <w:spacing w:line="450" w:lineRule="exact"/>
        <w:ind w:firstLine="482"/>
        <w:rPr>
          <w:rFonts w:hint="eastAsia" w:ascii="宋体" w:hAnsi="宋体" w:eastAsia="宋体" w:cs="宋体"/>
          <w:snapToGrid w:val="0"/>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（2）严重失职造成重大工程事故或违反职业道德、营私舞弊、收受贿赂，给招标人造成不必要损失的；</w:t>
      </w:r>
    </w:p>
    <w:p w14:paraId="40963BC4">
      <w:pPr>
        <w:snapToGrid w:val="0"/>
        <w:spacing w:line="450" w:lineRule="exact"/>
        <w:ind w:firstLine="482"/>
        <w:rPr>
          <w:rFonts w:hint="eastAsia" w:ascii="宋体" w:hAnsi="宋体" w:eastAsia="宋体" w:cs="宋体"/>
          <w:snapToGrid w:val="0"/>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（3）</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工程</w:t>
      </w:r>
      <w:r>
        <w:rPr>
          <w:rFonts w:hint="eastAsia" w:ascii="宋体" w:hAnsi="宋体" w:eastAsia="宋体" w:cs="宋体"/>
          <w:snapToGrid w:val="0"/>
          <w:color w:val="000000" w:themeColor="text1"/>
          <w:sz w:val="22"/>
          <w:szCs w:val="22"/>
          <w:highlight w:val="none"/>
          <w14:textFill>
            <w14:solidFill>
              <w14:schemeClr w14:val="tx1"/>
            </w14:solidFill>
          </w14:textFill>
        </w:rPr>
        <w:t>进度缓慢、工程质量低劣的；</w:t>
      </w:r>
    </w:p>
    <w:p w14:paraId="32C9AE16">
      <w:pPr>
        <w:snapToGrid w:val="0"/>
        <w:spacing w:line="450" w:lineRule="exact"/>
        <w:ind w:firstLine="482"/>
        <w:rPr>
          <w:rFonts w:hint="eastAsia" w:ascii="宋体" w:hAnsi="宋体" w:eastAsia="宋体" w:cs="宋体"/>
          <w:snapToGrid w:val="0"/>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（4）未达到工程质量、安全目标的；</w:t>
      </w:r>
    </w:p>
    <w:p w14:paraId="1251BEDB">
      <w:pPr>
        <w:snapToGrid w:val="0"/>
        <w:spacing w:line="450" w:lineRule="exact"/>
        <w:ind w:firstLine="482"/>
        <w:rPr>
          <w:rFonts w:hint="eastAsia" w:ascii="宋体" w:hAnsi="宋体" w:eastAsia="宋体" w:cs="宋体"/>
          <w:snapToGrid w:val="0"/>
          <w:color w:val="000000" w:themeColor="text1"/>
          <w:szCs w:val="21"/>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（5）在接到承包人检查约定的时间后12小时内未到场且过后又没有进行复检而造成质量问题的。</w:t>
      </w:r>
    </w:p>
    <w:p w14:paraId="4B0DCF59">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25" w:name="_Toc144974539"/>
      <w:bookmarkStart w:id="226" w:name="_Toc152042347"/>
      <w:bookmarkStart w:id="227" w:name="_Toc361338277"/>
      <w:bookmarkStart w:id="228" w:name="_Toc152045571"/>
      <w:bookmarkStart w:id="229" w:name="_Toc506120283"/>
      <w:r>
        <w:rPr>
          <w:rFonts w:hint="eastAsia" w:ascii="宋体" w:hAnsi="宋体" w:eastAsia="宋体" w:cs="宋体"/>
          <w:b/>
          <w:color w:val="000000" w:themeColor="text1"/>
          <w:kern w:val="2"/>
          <w:szCs w:val="21"/>
          <w:highlight w:val="none"/>
          <w14:textFill>
            <w14:solidFill>
              <w14:schemeClr w14:val="tx1"/>
            </w14:solidFill>
          </w14:textFill>
        </w:rPr>
        <w:t>8. 重新招标和不再招标</w:t>
      </w:r>
      <w:bookmarkEnd w:id="225"/>
      <w:bookmarkEnd w:id="226"/>
      <w:bookmarkEnd w:id="227"/>
      <w:bookmarkEnd w:id="228"/>
      <w:bookmarkEnd w:id="229"/>
    </w:p>
    <w:p w14:paraId="11448561">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30" w:name="_Toc361338278"/>
      <w:bookmarkStart w:id="231" w:name="_Toc506120431"/>
      <w:bookmarkStart w:id="232" w:name="_Toc152045572"/>
      <w:bookmarkStart w:id="233" w:name="_Toc152042348"/>
      <w:bookmarkStart w:id="234" w:name="_Toc506120284"/>
      <w:bookmarkStart w:id="235" w:name="_Toc144974540"/>
      <w:bookmarkStart w:id="236" w:name="_Toc16476"/>
      <w:r>
        <w:rPr>
          <w:rFonts w:hint="eastAsia" w:ascii="宋体" w:hAnsi="宋体" w:eastAsia="宋体" w:cs="宋体"/>
          <w:b/>
          <w:color w:val="000000" w:themeColor="text1"/>
          <w:kern w:val="2"/>
          <w:szCs w:val="21"/>
          <w:highlight w:val="none"/>
          <w14:textFill>
            <w14:solidFill>
              <w14:schemeClr w14:val="tx1"/>
            </w14:solidFill>
          </w14:textFill>
        </w:rPr>
        <w:t>8.1 重新招标</w:t>
      </w:r>
      <w:bookmarkEnd w:id="230"/>
      <w:bookmarkEnd w:id="231"/>
      <w:bookmarkEnd w:id="232"/>
      <w:bookmarkEnd w:id="233"/>
      <w:bookmarkEnd w:id="234"/>
      <w:bookmarkEnd w:id="235"/>
      <w:bookmarkEnd w:id="236"/>
    </w:p>
    <w:p w14:paraId="1E3366A9">
      <w:pPr>
        <w:snapToGrid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有下列情形之一的，招标人将重新招标：</w:t>
      </w:r>
    </w:p>
    <w:p w14:paraId="630BE560">
      <w:pPr>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（1）投标截止时间止，投标人少于3个的；</w:t>
      </w:r>
    </w:p>
    <w:p w14:paraId="5F657C6B">
      <w:pPr>
        <w:snapToGrid w:val="0"/>
        <w:spacing w:line="450" w:lineRule="exact"/>
        <w:ind w:firstLine="376" w:firstLineChars="17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（2）经评标委员会评审后否决所有投标的；</w:t>
      </w:r>
    </w:p>
    <w:p w14:paraId="322CB6EA">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37" w:name="_Toc506120285"/>
      <w:bookmarkStart w:id="238" w:name="_Toc22088"/>
      <w:bookmarkStart w:id="239" w:name="_Toc152042349"/>
      <w:bookmarkStart w:id="240" w:name="_Toc144974541"/>
      <w:bookmarkStart w:id="241" w:name="_Toc361338279"/>
      <w:bookmarkStart w:id="242" w:name="_Toc152045573"/>
      <w:bookmarkStart w:id="243" w:name="_Toc506120432"/>
      <w:r>
        <w:rPr>
          <w:rFonts w:hint="eastAsia" w:ascii="宋体" w:hAnsi="宋体" w:eastAsia="宋体" w:cs="宋体"/>
          <w:b/>
          <w:color w:val="000000" w:themeColor="text1"/>
          <w:kern w:val="2"/>
          <w:szCs w:val="21"/>
          <w:highlight w:val="none"/>
          <w14:textFill>
            <w14:solidFill>
              <w14:schemeClr w14:val="tx1"/>
            </w14:solidFill>
          </w14:textFill>
        </w:rPr>
        <w:t>8.2 不再招标</w:t>
      </w:r>
      <w:bookmarkEnd w:id="237"/>
      <w:bookmarkEnd w:id="238"/>
      <w:bookmarkEnd w:id="239"/>
      <w:bookmarkEnd w:id="240"/>
      <w:bookmarkEnd w:id="241"/>
      <w:bookmarkEnd w:id="242"/>
      <w:bookmarkEnd w:id="243"/>
    </w:p>
    <w:p w14:paraId="50C058A2">
      <w:pPr>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重新招标后投标人仍少于3个的，经原审批或核准部门批准后不再进行招标。</w:t>
      </w:r>
    </w:p>
    <w:p w14:paraId="229E1235">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44" w:name="_Toc144974542"/>
      <w:bookmarkStart w:id="245" w:name="_Toc506120286"/>
      <w:bookmarkStart w:id="246" w:name="_Toc152042350"/>
      <w:bookmarkStart w:id="247" w:name="_Toc152045574"/>
      <w:bookmarkStart w:id="248" w:name="_Toc361338280"/>
      <w:r>
        <w:rPr>
          <w:rFonts w:hint="eastAsia" w:ascii="宋体" w:hAnsi="宋体" w:eastAsia="宋体" w:cs="宋体"/>
          <w:b/>
          <w:color w:val="000000" w:themeColor="text1"/>
          <w:kern w:val="2"/>
          <w:szCs w:val="21"/>
          <w:highlight w:val="none"/>
          <w14:textFill>
            <w14:solidFill>
              <w14:schemeClr w14:val="tx1"/>
            </w14:solidFill>
          </w14:textFill>
        </w:rPr>
        <w:t>9. 纪律和监督</w:t>
      </w:r>
      <w:bookmarkEnd w:id="244"/>
      <w:bookmarkEnd w:id="245"/>
      <w:bookmarkEnd w:id="246"/>
      <w:bookmarkEnd w:id="247"/>
      <w:bookmarkEnd w:id="248"/>
    </w:p>
    <w:p w14:paraId="29B8E241">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49" w:name="_Toc27650"/>
      <w:bookmarkStart w:id="250" w:name="_Toc152045575"/>
      <w:bookmarkStart w:id="251" w:name="_Toc506120287"/>
      <w:bookmarkStart w:id="252" w:name="_Toc506120434"/>
      <w:bookmarkStart w:id="253" w:name="_Toc361338281"/>
      <w:bookmarkStart w:id="254" w:name="_Toc144974543"/>
      <w:bookmarkStart w:id="255" w:name="_Toc152042351"/>
      <w:r>
        <w:rPr>
          <w:rFonts w:hint="eastAsia" w:ascii="宋体" w:hAnsi="宋体" w:eastAsia="宋体" w:cs="宋体"/>
          <w:b/>
          <w:color w:val="000000" w:themeColor="text1"/>
          <w:kern w:val="2"/>
          <w:szCs w:val="21"/>
          <w:highlight w:val="none"/>
          <w14:textFill>
            <w14:solidFill>
              <w14:schemeClr w14:val="tx1"/>
            </w14:solidFill>
          </w14:textFill>
        </w:rPr>
        <w:t>9.1 对招标人的纪律要求</w:t>
      </w:r>
      <w:bookmarkEnd w:id="249"/>
      <w:bookmarkEnd w:id="250"/>
      <w:bookmarkEnd w:id="251"/>
      <w:bookmarkEnd w:id="252"/>
      <w:bookmarkEnd w:id="253"/>
      <w:bookmarkEnd w:id="254"/>
      <w:bookmarkEnd w:id="255"/>
    </w:p>
    <w:p w14:paraId="202C1C7E">
      <w:pPr>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招标人不得泄漏招标投标活动中应当保密的情况和资料，不得与投标人串通损害国家利益、社会公共利益或者他人合法权益。</w:t>
      </w:r>
    </w:p>
    <w:p w14:paraId="798F51BB">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56" w:name="_Toc361338282"/>
      <w:bookmarkStart w:id="257" w:name="_Toc506120435"/>
      <w:bookmarkStart w:id="258" w:name="_Toc152045576"/>
      <w:bookmarkStart w:id="259" w:name="_Toc506120288"/>
      <w:bookmarkStart w:id="260" w:name="_Toc144974544"/>
      <w:bookmarkStart w:id="261" w:name="_Toc31664"/>
      <w:bookmarkStart w:id="262" w:name="_Toc152042352"/>
      <w:r>
        <w:rPr>
          <w:rFonts w:hint="eastAsia" w:ascii="宋体" w:hAnsi="宋体" w:eastAsia="宋体" w:cs="宋体"/>
          <w:b/>
          <w:color w:val="000000" w:themeColor="text1"/>
          <w:kern w:val="2"/>
          <w:szCs w:val="21"/>
          <w:highlight w:val="none"/>
          <w14:textFill>
            <w14:solidFill>
              <w14:schemeClr w14:val="tx1"/>
            </w14:solidFill>
          </w14:textFill>
        </w:rPr>
        <w:t>9.2 对投标人的纪律要求</w:t>
      </w:r>
      <w:bookmarkEnd w:id="256"/>
      <w:bookmarkEnd w:id="257"/>
      <w:bookmarkEnd w:id="258"/>
      <w:bookmarkEnd w:id="259"/>
      <w:bookmarkEnd w:id="260"/>
      <w:bookmarkEnd w:id="261"/>
      <w:bookmarkEnd w:id="262"/>
    </w:p>
    <w:p w14:paraId="7A749183">
      <w:pPr>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53739C88">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63" w:name="_Toc361338283"/>
      <w:bookmarkStart w:id="264" w:name="_Toc506120289"/>
      <w:bookmarkStart w:id="265" w:name="_Toc144974545"/>
      <w:bookmarkStart w:id="266" w:name="_Toc506120436"/>
      <w:bookmarkStart w:id="267" w:name="_Toc152042353"/>
      <w:bookmarkStart w:id="268" w:name="_Toc25582"/>
      <w:bookmarkStart w:id="269" w:name="_Toc152045577"/>
      <w:r>
        <w:rPr>
          <w:rFonts w:hint="eastAsia" w:ascii="宋体" w:hAnsi="宋体" w:eastAsia="宋体" w:cs="宋体"/>
          <w:b/>
          <w:color w:val="000000" w:themeColor="text1"/>
          <w:kern w:val="2"/>
          <w:szCs w:val="21"/>
          <w:highlight w:val="none"/>
          <w14:textFill>
            <w14:solidFill>
              <w14:schemeClr w14:val="tx1"/>
            </w14:solidFill>
          </w14:textFill>
        </w:rPr>
        <w:t>9.3 对评标委员会成员的纪律要求</w:t>
      </w:r>
      <w:bookmarkEnd w:id="263"/>
      <w:bookmarkEnd w:id="264"/>
      <w:bookmarkEnd w:id="265"/>
      <w:bookmarkEnd w:id="266"/>
      <w:bookmarkEnd w:id="267"/>
      <w:bookmarkEnd w:id="268"/>
      <w:bookmarkEnd w:id="269"/>
    </w:p>
    <w:p w14:paraId="1700D5EC">
      <w:pPr>
        <w:wordWrap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r>
        <w:rPr>
          <w:rFonts w:hint="eastAsia" w:ascii="宋体" w:hAnsi="宋体" w:eastAsia="宋体" w:cs="宋体"/>
          <w:color w:val="000000" w:themeColor="text1"/>
          <w:highlight w:val="none"/>
          <w14:textFill>
            <w14:solidFill>
              <w14:schemeClr w14:val="tx1"/>
            </w14:solidFill>
          </w14:textFill>
        </w:rPr>
        <w:t>。</w:t>
      </w:r>
    </w:p>
    <w:p w14:paraId="664C9049">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70" w:name="_Toc152042354"/>
      <w:bookmarkStart w:id="271" w:name="_Toc506120290"/>
      <w:bookmarkStart w:id="272" w:name="_Toc152045578"/>
      <w:bookmarkStart w:id="273" w:name="_Toc29454"/>
      <w:bookmarkStart w:id="274" w:name="_Toc506120437"/>
      <w:bookmarkStart w:id="275" w:name="_Toc361338284"/>
      <w:bookmarkStart w:id="276" w:name="_Toc144974546"/>
      <w:r>
        <w:rPr>
          <w:rFonts w:hint="eastAsia" w:ascii="宋体" w:hAnsi="宋体" w:eastAsia="宋体" w:cs="宋体"/>
          <w:b/>
          <w:color w:val="000000" w:themeColor="text1"/>
          <w:kern w:val="2"/>
          <w:szCs w:val="21"/>
          <w:highlight w:val="none"/>
          <w14:textFill>
            <w14:solidFill>
              <w14:schemeClr w14:val="tx1"/>
            </w14:solidFill>
          </w14:textFill>
        </w:rPr>
        <w:t>9.4 对与评标活动有关的工作人员的纪律要求</w:t>
      </w:r>
      <w:bookmarkEnd w:id="270"/>
      <w:bookmarkEnd w:id="271"/>
      <w:bookmarkEnd w:id="272"/>
      <w:bookmarkEnd w:id="273"/>
      <w:bookmarkEnd w:id="274"/>
      <w:bookmarkEnd w:id="275"/>
    </w:p>
    <w:p w14:paraId="282F172F">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bookmarkStart w:id="277" w:name="_Toc152042355"/>
      <w:r>
        <w:rPr>
          <w:rFonts w:hint="eastAsia" w:ascii="宋体" w:hAnsi="宋体" w:eastAsia="宋体" w:cs="宋体"/>
          <w:color w:val="000000" w:themeColor="text1"/>
          <w:sz w:val="22"/>
          <w:szCs w:val="22"/>
          <w:highlight w:val="none"/>
          <w14:textFill>
            <w14:solidFill>
              <w14:schemeClr w14:val="tx1"/>
            </w14:solidFill>
          </w14:textFill>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277"/>
    </w:p>
    <w:p w14:paraId="01A37CB8">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78" w:name="_Toc1300"/>
      <w:bookmarkStart w:id="279" w:name="_Toc361338285"/>
      <w:bookmarkStart w:id="280" w:name="_Toc506120438"/>
      <w:bookmarkStart w:id="281" w:name="_Toc506120291"/>
      <w:bookmarkStart w:id="282" w:name="_Toc152045579"/>
      <w:bookmarkStart w:id="283" w:name="_Toc152042356"/>
      <w:r>
        <w:rPr>
          <w:rFonts w:hint="eastAsia" w:ascii="宋体" w:hAnsi="宋体" w:eastAsia="宋体" w:cs="宋体"/>
          <w:b/>
          <w:color w:val="000000" w:themeColor="text1"/>
          <w:kern w:val="2"/>
          <w:szCs w:val="21"/>
          <w:highlight w:val="none"/>
          <w14:textFill>
            <w14:solidFill>
              <w14:schemeClr w14:val="tx1"/>
            </w14:solidFill>
          </w14:textFill>
        </w:rPr>
        <w:t>9.5 异议与投诉</w:t>
      </w:r>
      <w:bookmarkEnd w:id="276"/>
      <w:bookmarkEnd w:id="278"/>
      <w:bookmarkEnd w:id="279"/>
      <w:bookmarkEnd w:id="280"/>
      <w:bookmarkEnd w:id="281"/>
      <w:bookmarkEnd w:id="282"/>
      <w:bookmarkEnd w:id="283"/>
    </w:p>
    <w:p w14:paraId="454E0B24">
      <w:pPr>
        <w:wordWrap w:val="0"/>
        <w:snapToGrid w:val="0"/>
        <w:spacing w:line="450" w:lineRule="exact"/>
        <w:ind w:firstLine="440" w:firstLineChars="200"/>
        <w:rPr>
          <w:rFonts w:hint="eastAsia" w:ascii="宋体" w:hAnsi="宋体" w:eastAsia="宋体" w:cs="宋体"/>
          <w:iCs/>
          <w:color w:val="000000" w:themeColor="text1"/>
          <w:szCs w:val="21"/>
          <w:highlight w:val="none"/>
          <w14:textFill>
            <w14:solidFill>
              <w14:schemeClr w14:val="tx1"/>
            </w14:solidFill>
          </w14:textFill>
        </w:rPr>
      </w:pPr>
      <w:r>
        <w:rPr>
          <w:rFonts w:hint="eastAsia" w:ascii="宋体" w:hAnsi="宋体" w:eastAsia="宋体" w:cs="宋体"/>
          <w:iCs/>
          <w:color w:val="000000" w:themeColor="text1"/>
          <w:sz w:val="22"/>
          <w:szCs w:val="22"/>
          <w:highlight w:val="none"/>
          <w14:textFill>
            <w14:solidFill>
              <w14:schemeClr w14:val="tx1"/>
            </w14:solidFill>
          </w14:textFill>
        </w:rPr>
        <w:t>投标人及其他利害关系人有提出异议与投诉的权利，但应遵守国家相关法律法规的规定的要求。</w:t>
      </w:r>
    </w:p>
    <w:p w14:paraId="744B89C5">
      <w:pPr>
        <w:pStyle w:val="42"/>
        <w:spacing w:line="450" w:lineRule="exact"/>
        <w:jc w:val="both"/>
        <w:rPr>
          <w:rFonts w:hint="eastAsia" w:ascii="宋体" w:hAnsi="宋体" w:eastAsia="宋体" w:cs="宋体"/>
          <w:b/>
          <w:color w:val="000000" w:themeColor="text1"/>
          <w:kern w:val="2"/>
          <w:szCs w:val="21"/>
          <w:highlight w:val="none"/>
          <w14:textFill>
            <w14:solidFill>
              <w14:schemeClr w14:val="tx1"/>
            </w14:solidFill>
          </w14:textFill>
        </w:rPr>
      </w:pPr>
      <w:bookmarkStart w:id="284" w:name="_Toc506120292"/>
      <w:r>
        <w:rPr>
          <w:rFonts w:hint="eastAsia" w:ascii="宋体" w:hAnsi="宋体" w:eastAsia="宋体" w:cs="宋体"/>
          <w:b/>
          <w:color w:val="000000" w:themeColor="text1"/>
          <w:kern w:val="2"/>
          <w:szCs w:val="21"/>
          <w:highlight w:val="none"/>
          <w14:textFill>
            <w14:solidFill>
              <w14:schemeClr w14:val="tx1"/>
            </w14:solidFill>
          </w14:textFill>
        </w:rPr>
        <w:t>10. 需要补充的其他内容</w:t>
      </w:r>
      <w:bookmarkEnd w:id="284"/>
    </w:p>
    <w:p w14:paraId="50BA1513">
      <w:pPr>
        <w:wordWrap w:val="0"/>
        <w:snapToGrid w:val="0"/>
        <w:spacing w:line="450" w:lineRule="exact"/>
        <w:ind w:firstLine="440" w:firstLineChars="200"/>
        <w:rPr>
          <w:rFonts w:hint="eastAsia" w:ascii="宋体" w:hAnsi="宋体" w:eastAsia="宋体" w:cs="宋体"/>
          <w:iCs/>
          <w:color w:val="000000" w:themeColor="text1"/>
          <w:sz w:val="22"/>
          <w:szCs w:val="22"/>
          <w:highlight w:val="none"/>
          <w14:textFill>
            <w14:solidFill>
              <w14:schemeClr w14:val="tx1"/>
            </w14:solidFill>
          </w14:textFill>
        </w:rPr>
      </w:pPr>
      <w:bookmarkStart w:id="285" w:name="_Toc506120440"/>
      <w:bookmarkStart w:id="286" w:name="_Toc506120293"/>
      <w:r>
        <w:rPr>
          <w:rFonts w:hint="eastAsia" w:ascii="宋体" w:hAnsi="宋体" w:eastAsia="宋体" w:cs="宋体"/>
          <w:iCs/>
          <w:color w:val="000000" w:themeColor="text1"/>
          <w:sz w:val="22"/>
          <w:szCs w:val="22"/>
          <w:highlight w:val="none"/>
          <w14:textFill>
            <w14:solidFill>
              <w14:schemeClr w14:val="tx1"/>
            </w14:solidFill>
          </w14:textFill>
        </w:rPr>
        <w:t>10.1否决投标的情形</w:t>
      </w:r>
      <w:bookmarkEnd w:id="285"/>
      <w:bookmarkEnd w:id="286"/>
      <w:r>
        <w:rPr>
          <w:rFonts w:hint="eastAsia" w:ascii="宋体" w:hAnsi="宋体" w:eastAsia="宋体" w:cs="宋体"/>
          <w:iCs/>
          <w:color w:val="000000" w:themeColor="text1"/>
          <w:sz w:val="22"/>
          <w:szCs w:val="22"/>
          <w:highlight w:val="none"/>
          <w14:textFill>
            <w14:solidFill>
              <w14:schemeClr w14:val="tx1"/>
            </w14:solidFill>
          </w14:textFill>
        </w:rPr>
        <w:t>见投标人须知前附表；</w:t>
      </w:r>
    </w:p>
    <w:p w14:paraId="1D7FAFFF">
      <w:pPr>
        <w:wordWrap w:val="0"/>
        <w:snapToGrid w:val="0"/>
        <w:spacing w:line="450" w:lineRule="exact"/>
        <w:ind w:firstLine="440" w:firstLineChars="200"/>
        <w:rPr>
          <w:rFonts w:hint="eastAsia" w:ascii="宋体" w:hAnsi="宋体" w:eastAsia="宋体" w:cs="宋体"/>
          <w:iCs/>
          <w:color w:val="000000" w:themeColor="text1"/>
          <w:sz w:val="22"/>
          <w:szCs w:val="22"/>
          <w:highlight w:val="none"/>
          <w14:textFill>
            <w14:solidFill>
              <w14:schemeClr w14:val="tx1"/>
            </w14:solidFill>
          </w14:textFill>
        </w:rPr>
      </w:pPr>
      <w:r>
        <w:rPr>
          <w:rFonts w:hint="eastAsia" w:ascii="宋体" w:hAnsi="宋体" w:eastAsia="宋体" w:cs="宋体"/>
          <w:iCs/>
          <w:color w:val="000000" w:themeColor="text1"/>
          <w:sz w:val="22"/>
          <w:szCs w:val="22"/>
          <w:highlight w:val="none"/>
          <w14:textFill>
            <w14:solidFill>
              <w14:schemeClr w14:val="tx1"/>
            </w14:solidFill>
          </w14:textFill>
        </w:rPr>
        <w:t>10.2 异议与投诉见投标人须知前附表；</w:t>
      </w:r>
    </w:p>
    <w:p w14:paraId="35DD89DA">
      <w:pPr>
        <w:wordWrap w:val="0"/>
        <w:snapToGrid w:val="0"/>
        <w:spacing w:line="450" w:lineRule="exact"/>
        <w:ind w:firstLine="44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iCs/>
          <w:color w:val="000000" w:themeColor="text1"/>
          <w:sz w:val="22"/>
          <w:szCs w:val="22"/>
          <w:highlight w:val="none"/>
          <w14:textFill>
            <w14:solidFill>
              <w14:schemeClr w14:val="tx1"/>
            </w14:solidFill>
          </w14:textFill>
        </w:rPr>
        <w:t>10.3业绩证明材料提供的要求：</w:t>
      </w:r>
      <w:r>
        <w:rPr>
          <w:rFonts w:hint="eastAsia" w:ascii="宋体" w:hAnsi="宋体" w:eastAsia="宋体" w:cs="宋体"/>
          <w:color w:val="000000" w:themeColor="text1"/>
          <w:sz w:val="22"/>
          <w:szCs w:val="22"/>
          <w:highlight w:val="none"/>
          <w14:textFill>
            <w14:solidFill>
              <w14:schemeClr w14:val="tx1"/>
            </w14:solidFill>
          </w14:textFill>
        </w:rPr>
        <w:t>以评标办法中的要求为准。</w:t>
      </w:r>
    </w:p>
    <w:p w14:paraId="5A72D0A0">
      <w:pPr>
        <w:rPr>
          <w:rFonts w:hint="eastAsia" w:ascii="宋体" w:hAnsi="宋体" w:eastAsia="宋体" w:cs="宋体"/>
          <w:color w:val="000000" w:themeColor="text1"/>
          <w:highlight w:val="none"/>
          <w14:textFill>
            <w14:solidFill>
              <w14:schemeClr w14:val="tx1"/>
            </w14:solidFill>
          </w14:textFill>
        </w:rPr>
      </w:pPr>
      <w:bookmarkStart w:id="287" w:name="_Toc2618"/>
      <w:bookmarkStart w:id="288" w:name="_Toc506120295"/>
      <w:r>
        <w:rPr>
          <w:rFonts w:hint="eastAsia" w:ascii="宋体" w:hAnsi="宋体" w:eastAsia="宋体" w:cs="宋体"/>
          <w:color w:val="000000" w:themeColor="text1"/>
          <w:highlight w:val="none"/>
          <w14:textFill>
            <w14:solidFill>
              <w14:schemeClr w14:val="tx1"/>
            </w14:solidFill>
          </w14:textFill>
        </w:rPr>
        <w:br w:type="page"/>
      </w:r>
    </w:p>
    <w:p w14:paraId="36578F12">
      <w:pPr>
        <w:pStyle w:val="3"/>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第三章 评标办法（综合评估法）</w:t>
      </w:r>
      <w:bookmarkEnd w:id="287"/>
      <w:bookmarkEnd w:id="288"/>
    </w:p>
    <w:p w14:paraId="113297B2">
      <w:pPr>
        <w:pStyle w:val="42"/>
        <w:spacing w:line="45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bookmarkStart w:id="289" w:name="_Toc506120296"/>
      <w:r>
        <w:rPr>
          <w:rFonts w:hint="eastAsia" w:ascii="宋体" w:hAnsi="宋体" w:eastAsia="宋体" w:cs="宋体"/>
          <w:b/>
          <w:color w:val="000000" w:themeColor="text1"/>
          <w:kern w:val="2"/>
          <w:sz w:val="22"/>
          <w:szCs w:val="22"/>
          <w:highlight w:val="none"/>
          <w14:textFill>
            <w14:solidFill>
              <w14:schemeClr w14:val="tx1"/>
            </w14:solidFill>
          </w14:textFill>
        </w:rPr>
        <w:t>1. 评标原则</w:t>
      </w:r>
      <w:bookmarkEnd w:id="289"/>
    </w:p>
    <w:p w14:paraId="2BA14EA8">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评标应遵循公平、公正、科学、择优的原则。</w:t>
      </w:r>
    </w:p>
    <w:p w14:paraId="13F15BE3">
      <w:pPr>
        <w:pStyle w:val="42"/>
        <w:spacing w:line="45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bookmarkStart w:id="290" w:name="_Toc506120297"/>
      <w:r>
        <w:rPr>
          <w:rFonts w:hint="eastAsia" w:ascii="宋体" w:hAnsi="宋体" w:eastAsia="宋体" w:cs="宋体"/>
          <w:b/>
          <w:color w:val="000000" w:themeColor="text1"/>
          <w:kern w:val="2"/>
          <w:sz w:val="22"/>
          <w:szCs w:val="22"/>
          <w:highlight w:val="none"/>
          <w14:textFill>
            <w14:solidFill>
              <w14:schemeClr w14:val="tx1"/>
            </w14:solidFill>
          </w14:textFill>
        </w:rPr>
        <w:t>2. 评标组织</w:t>
      </w:r>
      <w:bookmarkEnd w:id="290"/>
    </w:p>
    <w:p w14:paraId="0FBD797C">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评标工作由招标人依法组建的评标委员会负责。评标委员会的组建见投标人须知前附表，评标委员会成员为不少于</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人的单数。</w:t>
      </w:r>
    </w:p>
    <w:p w14:paraId="76C33FDE">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应推举产生评标委员会负责人。评标委员会负责人负责组织评标、掌握评标进程、主持询标、编写评标报告等工作。评标委员会负责人与其他成员具有同等的权利。评标委员会成员对所提出的评审意见承担个人责任。</w:t>
      </w:r>
    </w:p>
    <w:p w14:paraId="2885A71F">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评标委员会应当按照招标文件确定的评标标准和方法，客观、公正地对投标文件进行评审和比较。招标文件没有规定的评标标准和方法不得作为评标的依据。</w:t>
      </w:r>
    </w:p>
    <w:p w14:paraId="63EA94FE">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评标委员会对投标文件作出的评审结论，应当符合有关法律、法规、规章和招标文件的规定。</w:t>
      </w:r>
    </w:p>
    <w:p w14:paraId="0E24AD28">
      <w:pPr>
        <w:pStyle w:val="42"/>
        <w:spacing w:line="45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bookmarkStart w:id="291" w:name="_Toc506120298"/>
      <w:r>
        <w:rPr>
          <w:rFonts w:hint="eastAsia" w:ascii="宋体" w:hAnsi="宋体" w:eastAsia="宋体" w:cs="宋体"/>
          <w:b/>
          <w:color w:val="000000" w:themeColor="text1"/>
          <w:kern w:val="2"/>
          <w:sz w:val="22"/>
          <w:szCs w:val="22"/>
          <w:highlight w:val="none"/>
          <w14:textFill>
            <w14:solidFill>
              <w14:schemeClr w14:val="tx1"/>
            </w14:solidFill>
          </w14:textFill>
        </w:rPr>
        <w:t>3. 评标程序和内容</w:t>
      </w:r>
      <w:bookmarkEnd w:id="291"/>
    </w:p>
    <w:p w14:paraId="39B939C5">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3.1熟悉招标文件和评标办法；</w:t>
      </w:r>
    </w:p>
    <w:p w14:paraId="1CB5A65F">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3.2投标文件的符合性评审；</w:t>
      </w:r>
    </w:p>
    <w:p w14:paraId="654A170B">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3.3按招标文件要求对投标文件进行资信、业绩、技术评审；</w:t>
      </w:r>
    </w:p>
    <w:p w14:paraId="5F9CCEFE">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w:t>
      </w:r>
      <w:r>
        <w:rPr>
          <w:rFonts w:hint="eastAsia" w:ascii="宋体" w:hAnsi="宋体" w:eastAsia="宋体" w:cs="宋体"/>
          <w:color w:val="000000" w:themeColor="text1"/>
          <w:sz w:val="22"/>
          <w:szCs w:val="22"/>
          <w:highlight w:val="none"/>
          <w:lang w:val="en-US" w:eastAsia="zh-CN"/>
          <w14:textFill>
            <w14:solidFill>
              <w14:schemeClr w14:val="tx1"/>
            </w14:solidFill>
          </w14:textFill>
        </w:rPr>
        <w:t>4</w:t>
      </w:r>
      <w:r>
        <w:rPr>
          <w:rFonts w:hint="eastAsia" w:ascii="宋体" w:hAnsi="宋体" w:eastAsia="宋体" w:cs="宋体"/>
          <w:color w:val="000000" w:themeColor="text1"/>
          <w:sz w:val="22"/>
          <w:szCs w:val="22"/>
          <w:highlight w:val="none"/>
          <w14:textFill>
            <w14:solidFill>
              <w14:schemeClr w14:val="tx1"/>
            </w14:solidFill>
          </w14:textFill>
        </w:rPr>
        <w:t>必要时对投标文件中的问题进行询标；</w:t>
      </w:r>
    </w:p>
    <w:p w14:paraId="2F0B81B1">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根据评标办法和标准对投标文件进行综合评分、排序；</w:t>
      </w:r>
    </w:p>
    <w:p w14:paraId="11F80610">
      <w:pPr>
        <w:wordWrap w:val="0"/>
        <w:spacing w:line="450" w:lineRule="exact"/>
        <w:ind w:firstLine="440" w:firstLineChars="200"/>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w:t>
      </w:r>
      <w:r>
        <w:rPr>
          <w:rFonts w:hint="eastAsia" w:ascii="宋体" w:hAnsi="宋体" w:eastAsia="宋体" w:cs="宋体"/>
          <w:color w:val="000000" w:themeColor="text1"/>
          <w:sz w:val="22"/>
          <w:szCs w:val="22"/>
          <w:highlight w:val="none"/>
          <w:lang w:val="en-US" w:eastAsia="zh-CN"/>
          <w14:textFill>
            <w14:solidFill>
              <w14:schemeClr w14:val="tx1"/>
            </w14:solidFill>
          </w14:textFill>
        </w:rPr>
        <w:t>6</w:t>
      </w:r>
      <w:r>
        <w:rPr>
          <w:rFonts w:hint="eastAsia" w:ascii="宋体" w:hAnsi="宋体" w:eastAsia="宋体" w:cs="宋体"/>
          <w:color w:val="000000" w:themeColor="text1"/>
          <w:sz w:val="22"/>
          <w:szCs w:val="22"/>
          <w:highlight w:val="none"/>
          <w14:textFill>
            <w14:solidFill>
              <w14:schemeClr w14:val="tx1"/>
            </w14:solidFill>
          </w14:textFill>
        </w:rPr>
        <w:t>完成评标报告，推荐中标候选人。</w:t>
      </w:r>
    </w:p>
    <w:p w14:paraId="4B0BB6E0">
      <w:pPr>
        <w:pStyle w:val="42"/>
        <w:spacing w:line="45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bookmarkStart w:id="292" w:name="_Toc506120299"/>
      <w:r>
        <w:rPr>
          <w:rFonts w:hint="eastAsia" w:ascii="宋体" w:hAnsi="宋体" w:eastAsia="宋体" w:cs="宋体"/>
          <w:b/>
          <w:color w:val="000000" w:themeColor="text1"/>
          <w:kern w:val="2"/>
          <w:sz w:val="22"/>
          <w:szCs w:val="22"/>
          <w:highlight w:val="none"/>
          <w14:textFill>
            <w14:solidFill>
              <w14:schemeClr w14:val="tx1"/>
            </w14:solidFill>
          </w14:textFill>
        </w:rPr>
        <w:t>4. 评审细则</w:t>
      </w:r>
      <w:bookmarkEnd w:id="292"/>
    </w:p>
    <w:p w14:paraId="5003D13D">
      <w:pPr>
        <w:pStyle w:val="42"/>
        <w:spacing w:line="450" w:lineRule="exact"/>
        <w:jc w:val="both"/>
        <w:rPr>
          <w:rFonts w:hint="eastAsia" w:ascii="宋体" w:hAnsi="宋体" w:eastAsia="宋体" w:cs="宋体"/>
          <w:b/>
          <w:color w:val="000000" w:themeColor="text1"/>
          <w:kern w:val="2"/>
          <w:sz w:val="22"/>
          <w:szCs w:val="22"/>
          <w:highlight w:val="none"/>
          <w14:textFill>
            <w14:solidFill>
              <w14:schemeClr w14:val="tx1"/>
            </w14:solidFill>
          </w14:textFill>
        </w:rPr>
      </w:pPr>
      <w:bookmarkStart w:id="293" w:name="_Toc5634"/>
      <w:bookmarkStart w:id="294" w:name="_Toc506120447"/>
      <w:bookmarkStart w:id="295" w:name="_Toc506120300"/>
      <w:r>
        <w:rPr>
          <w:rFonts w:hint="eastAsia" w:ascii="宋体" w:hAnsi="宋体" w:eastAsia="宋体" w:cs="宋体"/>
          <w:b/>
          <w:color w:val="000000" w:themeColor="text1"/>
          <w:kern w:val="2"/>
          <w:sz w:val="22"/>
          <w:szCs w:val="22"/>
          <w:highlight w:val="none"/>
          <w14:textFill>
            <w14:solidFill>
              <w14:schemeClr w14:val="tx1"/>
            </w14:solidFill>
          </w14:textFill>
        </w:rPr>
        <w:t>4.1投标文件的符合性评审</w:t>
      </w:r>
      <w:bookmarkEnd w:id="293"/>
      <w:bookmarkEnd w:id="294"/>
      <w:bookmarkEnd w:id="295"/>
    </w:p>
    <w:p w14:paraId="15A49EB9">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4.1.1评标委员会应依照招标文件的要求和规定，首先对投标人的投标资格和投标文件进行符合性评审。</w:t>
      </w:r>
    </w:p>
    <w:p w14:paraId="1BF92223">
      <w:pPr>
        <w:wordWrap w:val="0"/>
        <w:spacing w:line="450" w:lineRule="exact"/>
        <w:ind w:firstLine="442" w:firstLineChars="200"/>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如评标委员会发现投标文件存在投标人须知前附表10.1“否决投标的情形”内容之一的，可判定该投标文件符合性评审不通过予以否决，不再进入后续的综合评分程序。</w:t>
      </w:r>
    </w:p>
    <w:p w14:paraId="01F77540">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4.1.2询标</w:t>
      </w:r>
    </w:p>
    <w:p w14:paraId="7578DD4F">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（1）投标文件中有含义不明确的内容、明显文字或计算错误，评标委员会认为需要投标人作出必要澄清、说明的，应当组织询标。</w:t>
      </w:r>
    </w:p>
    <w:p w14:paraId="70C8DB2C">
      <w:pPr>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（2）询标应通过专用录音电话通知相关投标人。询标内容及投标人的澄清、说明应当采用书面形式，并不得超出投标文件的范围或者改变投标文件的实质性内容。</w:t>
      </w:r>
    </w:p>
    <w:p w14:paraId="38380C1B">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（3）评标委员会不得暗示或者诱导投标人作出澄清、说明，不得接受投标人主动提出的澄清、说明。</w:t>
      </w:r>
    </w:p>
    <w:p w14:paraId="3016B57D">
      <w:pPr>
        <w:wordWrap w:val="0"/>
        <w:spacing w:line="450" w:lineRule="exact"/>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bookmarkStart w:id="296" w:name="_Toc506120448"/>
      <w:bookmarkStart w:id="297" w:name="_Toc506120301"/>
      <w:bookmarkStart w:id="298" w:name="_Toc6524"/>
      <w:r>
        <w:rPr>
          <w:rFonts w:hint="eastAsia" w:ascii="宋体" w:hAnsi="宋体" w:eastAsia="宋体" w:cs="宋体"/>
          <w:color w:val="000000" w:themeColor="text1"/>
          <w:sz w:val="22"/>
          <w:szCs w:val="22"/>
          <w:highlight w:val="none"/>
          <w14:textFill>
            <w14:solidFill>
              <w14:schemeClr w14:val="tx1"/>
            </w14:solidFill>
          </w14:textFill>
        </w:rPr>
        <w:t>（4）投标人不得通过补充、修改或撤消投标文件中的内容使其成为实质性响应的投标，投标人在投标截止时间以后不得提交任何资料作为评标依据。</w:t>
      </w:r>
      <w:bookmarkEnd w:id="296"/>
      <w:bookmarkEnd w:id="297"/>
      <w:bookmarkEnd w:id="298"/>
    </w:p>
    <w:p w14:paraId="5FC72AE3">
      <w:pPr>
        <w:pStyle w:val="42"/>
        <w:spacing w:line="450" w:lineRule="exact"/>
        <w:jc w:val="both"/>
        <w:rPr>
          <w:rFonts w:hint="eastAsia" w:ascii="宋体" w:hAnsi="宋体" w:eastAsia="宋体" w:cs="宋体"/>
          <w:b/>
          <w:color w:val="000000" w:themeColor="text1"/>
          <w:kern w:val="2"/>
          <w:sz w:val="22"/>
          <w:szCs w:val="22"/>
          <w:highlight w:val="none"/>
          <w:lang w:val="en-US" w:eastAsia="zh-CN"/>
          <w14:textFill>
            <w14:solidFill>
              <w14:schemeClr w14:val="tx1"/>
            </w14:solidFill>
          </w14:textFill>
        </w:rPr>
      </w:pPr>
      <w:bookmarkStart w:id="299" w:name="_Toc7658"/>
      <w:bookmarkStart w:id="300" w:name="_Toc506120449"/>
      <w:bookmarkStart w:id="301" w:name="_Toc506120302"/>
      <w:r>
        <w:rPr>
          <w:rFonts w:hint="eastAsia" w:ascii="宋体" w:hAnsi="宋体" w:eastAsia="宋体" w:cs="宋体"/>
          <w:b/>
          <w:color w:val="000000" w:themeColor="text1"/>
          <w:kern w:val="2"/>
          <w:sz w:val="22"/>
          <w:szCs w:val="22"/>
          <w:highlight w:val="none"/>
          <w14:textFill>
            <w14:solidFill>
              <w14:schemeClr w14:val="tx1"/>
            </w14:solidFill>
          </w14:textFill>
        </w:rPr>
        <w:t xml:space="preserve">4.2 </w:t>
      </w:r>
      <w:bookmarkEnd w:id="299"/>
      <w:bookmarkEnd w:id="300"/>
      <w:bookmarkEnd w:id="301"/>
      <w:r>
        <w:rPr>
          <w:rFonts w:hint="eastAsia" w:ascii="宋体" w:hAnsi="宋体" w:eastAsia="宋体" w:cs="宋体"/>
          <w:b/>
          <w:color w:val="000000" w:themeColor="text1"/>
          <w:kern w:val="2"/>
          <w:sz w:val="22"/>
          <w:szCs w:val="22"/>
          <w:highlight w:val="none"/>
          <w:lang w:val="en-US" w:eastAsia="zh-CN"/>
          <w14:textFill>
            <w14:solidFill>
              <w14:schemeClr w14:val="tx1"/>
            </w14:solidFill>
          </w14:textFill>
        </w:rPr>
        <w:t>综合评分（总分100分）</w:t>
      </w:r>
    </w:p>
    <w:tbl>
      <w:tblPr>
        <w:tblStyle w:val="27"/>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1654"/>
        <w:gridCol w:w="6138"/>
      </w:tblGrid>
      <w:tr w14:paraId="1B3C9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20" w:type="pct"/>
            <w:tcBorders>
              <w:top w:val="single" w:color="auto" w:sz="4" w:space="0"/>
              <w:left w:val="single" w:color="auto" w:sz="4" w:space="0"/>
              <w:bottom w:val="single" w:color="auto" w:sz="4" w:space="0"/>
              <w:right w:val="single" w:color="auto" w:sz="4" w:space="0"/>
            </w:tcBorders>
            <w:noWrap w:val="0"/>
            <w:vAlign w:val="center"/>
          </w:tcPr>
          <w:p w14:paraId="6A08E9F7">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color w:val="000000" w:themeColor="text1"/>
                <w:sz w:val="21"/>
                <w:szCs w:val="21"/>
                <w:highlight w:val="none"/>
                <w:lang w:val="en-US"/>
                <w14:textFill>
                  <w14:solidFill>
                    <w14:schemeClr w14:val="tx1"/>
                  </w14:solidFill>
                </w14:textFill>
              </w:rPr>
            </w:pPr>
            <w:bookmarkStart w:id="302" w:name="OLE_LINK5"/>
            <w:r>
              <w:rPr>
                <w:rFonts w:hint="eastAsia" w:ascii="宋体" w:hAnsi="宋体" w:eastAsia="宋体" w:cs="宋体"/>
                <w:b/>
                <w:bCs/>
                <w:color w:val="000000" w:themeColor="text1"/>
                <w:sz w:val="21"/>
                <w:szCs w:val="21"/>
                <w:highlight w:val="none"/>
                <w14:textFill>
                  <w14:solidFill>
                    <w14:schemeClr w14:val="tx1"/>
                  </w14:solidFill>
                </w14:textFill>
              </w:rPr>
              <w:t>序号</w:t>
            </w:r>
          </w:p>
        </w:tc>
        <w:tc>
          <w:tcPr>
            <w:tcW w:w="972" w:type="pct"/>
            <w:tcBorders>
              <w:top w:val="single" w:color="auto" w:sz="4" w:space="0"/>
              <w:left w:val="single" w:color="auto" w:sz="4" w:space="0"/>
              <w:bottom w:val="single" w:color="auto" w:sz="4" w:space="0"/>
              <w:right w:val="single" w:color="auto" w:sz="4" w:space="0"/>
            </w:tcBorders>
            <w:noWrap w:val="0"/>
            <w:vAlign w:val="center"/>
          </w:tcPr>
          <w:p w14:paraId="284D3275">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color w:val="000000" w:themeColor="text1"/>
                <w:sz w:val="21"/>
                <w:szCs w:val="21"/>
                <w:highlight w:val="none"/>
                <w:lang w:val="en-US"/>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内容</w:t>
            </w:r>
          </w:p>
        </w:tc>
        <w:tc>
          <w:tcPr>
            <w:tcW w:w="3607" w:type="pct"/>
            <w:tcBorders>
              <w:top w:val="single" w:color="auto" w:sz="4" w:space="0"/>
              <w:left w:val="single" w:color="auto" w:sz="4" w:space="0"/>
              <w:bottom w:val="single" w:color="auto" w:sz="4" w:space="0"/>
              <w:right w:val="single" w:color="auto" w:sz="4" w:space="0"/>
            </w:tcBorders>
            <w:noWrap w:val="0"/>
            <w:vAlign w:val="center"/>
          </w:tcPr>
          <w:p w14:paraId="1B686AF3">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color w:val="000000" w:themeColor="text1"/>
                <w:sz w:val="21"/>
                <w:szCs w:val="21"/>
                <w:highlight w:val="none"/>
                <w:lang w:val="en-US"/>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评分细则</w:t>
            </w:r>
          </w:p>
        </w:tc>
      </w:tr>
      <w:tr w14:paraId="710D4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20" w:type="pct"/>
            <w:tcBorders>
              <w:top w:val="single" w:color="auto" w:sz="4" w:space="0"/>
              <w:left w:val="single" w:color="auto" w:sz="4" w:space="0"/>
              <w:bottom w:val="single" w:color="auto" w:sz="4" w:space="0"/>
              <w:right w:val="single" w:color="auto" w:sz="4" w:space="0"/>
            </w:tcBorders>
            <w:noWrap w:val="0"/>
            <w:vAlign w:val="center"/>
          </w:tcPr>
          <w:p w14:paraId="28B4B1AB">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color w:val="000000" w:themeColor="text1"/>
                <w:sz w:val="21"/>
                <w:szCs w:val="21"/>
                <w:highlight w:val="none"/>
                <w:lang w:val="en-US"/>
                <w14:textFill>
                  <w14:solidFill>
                    <w14:schemeClr w14:val="tx1"/>
                  </w14:solidFill>
                </w14:textFill>
              </w:rPr>
            </w:pPr>
            <w:r>
              <w:rPr>
                <w:rFonts w:hint="eastAsia" w:ascii="宋体" w:hAnsi="宋体" w:eastAsia="宋体" w:cs="宋体"/>
                <w:color w:val="000000" w:themeColor="text1"/>
                <w:sz w:val="21"/>
                <w:szCs w:val="21"/>
                <w:highlight w:val="none"/>
                <w:lang w:val="en-US"/>
                <w14:textFill>
                  <w14:solidFill>
                    <w14:schemeClr w14:val="tx1"/>
                  </w14:solidFill>
                </w14:textFill>
              </w:rPr>
              <w:t>1</w:t>
            </w:r>
          </w:p>
        </w:tc>
        <w:tc>
          <w:tcPr>
            <w:tcW w:w="972" w:type="pct"/>
            <w:tcBorders>
              <w:top w:val="single" w:color="auto" w:sz="4" w:space="0"/>
              <w:left w:val="single" w:color="auto" w:sz="4" w:space="0"/>
              <w:bottom w:val="single" w:color="auto" w:sz="4" w:space="0"/>
              <w:right w:val="single" w:color="auto" w:sz="4" w:space="0"/>
            </w:tcBorders>
            <w:noWrap w:val="0"/>
            <w:vAlign w:val="center"/>
          </w:tcPr>
          <w:p w14:paraId="3FFEF597">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报价</w:t>
            </w:r>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部分</w:t>
            </w:r>
          </w:p>
          <w:p w14:paraId="0EBD6A05">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color w:val="000000" w:themeColor="text1"/>
                <w:sz w:val="21"/>
                <w:szCs w:val="21"/>
                <w:highlight w:val="none"/>
                <w:lang w:val="en-US"/>
                <w14:textFill>
                  <w14:solidFill>
                    <w14:schemeClr w14:val="tx1"/>
                  </w14:solidFill>
                </w14:textFill>
              </w:rPr>
            </w:pPr>
            <w:r>
              <w:rPr>
                <w:rFonts w:hint="eastAsia" w:ascii="宋体" w:hAnsi="宋体" w:eastAsia="宋体" w:cs="宋体"/>
                <w:b/>
                <w:bCs w:val="0"/>
                <w:color w:val="000000" w:themeColor="text1"/>
                <w:sz w:val="21"/>
                <w:szCs w:val="21"/>
                <w:highlight w:val="none"/>
                <w14:textFill>
                  <w14:solidFill>
                    <w14:schemeClr w14:val="tx1"/>
                  </w14:solidFill>
                </w14:textFill>
              </w:rPr>
              <w:t>（</w:t>
            </w:r>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40</w:t>
            </w:r>
            <w:r>
              <w:rPr>
                <w:rFonts w:hint="eastAsia" w:ascii="宋体" w:hAnsi="宋体" w:eastAsia="宋体" w:cs="宋体"/>
                <w:b/>
                <w:bCs w:val="0"/>
                <w:color w:val="000000" w:themeColor="text1"/>
                <w:sz w:val="21"/>
                <w:szCs w:val="21"/>
                <w:highlight w:val="none"/>
                <w14:textFill>
                  <w14:solidFill>
                    <w14:schemeClr w14:val="tx1"/>
                  </w14:solidFill>
                </w14:textFill>
              </w:rPr>
              <w:t>）</w:t>
            </w:r>
          </w:p>
        </w:tc>
        <w:tc>
          <w:tcPr>
            <w:tcW w:w="3607" w:type="pct"/>
            <w:tcBorders>
              <w:top w:val="single" w:color="auto" w:sz="4" w:space="0"/>
              <w:left w:val="single" w:color="auto" w:sz="4" w:space="0"/>
              <w:bottom w:val="single" w:color="auto" w:sz="4" w:space="0"/>
              <w:right w:val="single" w:color="auto" w:sz="4" w:space="0"/>
            </w:tcBorders>
            <w:noWrap w:val="0"/>
            <w:vAlign w:val="center"/>
          </w:tcPr>
          <w:p w14:paraId="0489F431">
            <w:pPr>
              <w:keepNext w:val="0"/>
              <w:keepLines w:val="0"/>
              <w:widowControl w:val="0"/>
              <w:suppressLineNumbers w:val="0"/>
              <w:adjustRightInd w:val="0"/>
              <w:snapToGrid w:val="0"/>
              <w:spacing w:before="0" w:beforeAutospacing="0" w:after="0" w:afterAutospacing="0" w:line="340" w:lineRule="exact"/>
              <w:ind w:left="0" w:right="0"/>
              <w:jc w:val="both"/>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t>投标人按照直接费下浮率报价，城区片下浮率数值必须高于10%（区间值10%-15%），其它片区下浮率数值必须高于8%（区间值8%-13%），最多保留2位小数。</w:t>
            </w:r>
          </w:p>
          <w:p w14:paraId="702B846C">
            <w:pPr>
              <w:keepNext w:val="0"/>
              <w:keepLines w:val="0"/>
              <w:widowControl w:val="0"/>
              <w:suppressLineNumbers w:val="0"/>
              <w:adjustRightInd w:val="0"/>
              <w:snapToGrid w:val="0"/>
              <w:spacing w:before="0" w:beforeAutospacing="0" w:after="0" w:afterAutospacing="0" w:line="340" w:lineRule="exact"/>
              <w:ind w:left="0" w:right="0"/>
              <w:jc w:val="both"/>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t>各标段按下浮最高的得40分，第二得35分，第三得30分，第四得25分，第五得20分，第六得15分，第七得10分，第八得5分，其他为0分计分。报价相同的报价部分得分相同。（例：如有两家投标人并列第一的，则均得40分；第三家投标人得分次之的则按第三名得分计分）。</w:t>
            </w:r>
          </w:p>
        </w:tc>
      </w:tr>
      <w:tr w14:paraId="2685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20" w:type="pct"/>
            <w:vMerge w:val="restart"/>
            <w:tcBorders>
              <w:top w:val="single" w:color="auto" w:sz="4" w:space="0"/>
              <w:left w:val="single" w:color="auto" w:sz="4" w:space="0"/>
              <w:right w:val="single" w:color="auto" w:sz="4" w:space="0"/>
            </w:tcBorders>
            <w:noWrap w:val="0"/>
            <w:vAlign w:val="center"/>
          </w:tcPr>
          <w:p w14:paraId="4706555F">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2</w:t>
            </w:r>
          </w:p>
        </w:tc>
        <w:tc>
          <w:tcPr>
            <w:tcW w:w="972" w:type="pct"/>
            <w:vMerge w:val="restart"/>
            <w:tcBorders>
              <w:top w:val="single" w:color="auto" w:sz="4" w:space="0"/>
              <w:left w:val="single" w:color="auto" w:sz="4" w:space="0"/>
              <w:right w:val="single" w:color="auto" w:sz="4" w:space="0"/>
            </w:tcBorders>
            <w:noWrap w:val="0"/>
            <w:vAlign w:val="center"/>
          </w:tcPr>
          <w:p w14:paraId="45BB9181">
            <w:pPr>
              <w:keepNext w:val="0"/>
              <w:keepLines w:val="0"/>
              <w:widowControl w:val="0"/>
              <w:suppressLineNumbers w:val="0"/>
              <w:spacing w:before="0" w:beforeAutospacing="0" w:after="0" w:afterAutospacing="0" w:line="340" w:lineRule="exact"/>
              <w:ind w:left="0" w:right="0"/>
              <w:jc w:val="center"/>
              <w:rPr>
                <w:rFonts w:hint="default" w:ascii="宋体" w:hAnsi="宋体" w:eastAsia="宋体" w:cs="宋体"/>
                <w:b/>
                <w:bCs w:val="0"/>
                <w:color w:val="000000" w:themeColor="text1"/>
                <w:sz w:val="21"/>
                <w:szCs w:val="21"/>
                <w:highlight w:val="none"/>
                <w:lang w:val="en-US"/>
                <w14:textFill>
                  <w14:solidFill>
                    <w14:schemeClr w14:val="tx1"/>
                  </w14:solidFill>
                </w14:textFill>
              </w:rPr>
            </w:pPr>
            <w:r>
              <w:rPr>
                <w:rFonts w:hint="eastAsia" w:ascii="宋体" w:hAnsi="宋体" w:cs="宋体"/>
                <w:b/>
                <w:bCs w:val="0"/>
                <w:color w:val="000000" w:themeColor="text1"/>
                <w:sz w:val="21"/>
                <w:szCs w:val="21"/>
                <w:highlight w:val="none"/>
                <w:lang w:val="en-US" w:eastAsia="zh-CN"/>
                <w14:textFill>
                  <w14:solidFill>
                    <w14:schemeClr w14:val="tx1"/>
                  </w14:solidFill>
                </w14:textFill>
              </w:rPr>
              <w:t>技术方案</w:t>
            </w:r>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（3</w:t>
            </w:r>
            <w:r>
              <w:rPr>
                <w:rFonts w:hint="eastAsia" w:ascii="宋体" w:hAnsi="宋体" w:cs="宋体"/>
                <w:b/>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分）</w:t>
            </w:r>
          </w:p>
        </w:tc>
        <w:tc>
          <w:tcPr>
            <w:tcW w:w="3607" w:type="pct"/>
            <w:tcBorders>
              <w:top w:val="single" w:color="auto" w:sz="4" w:space="0"/>
              <w:left w:val="single" w:color="auto" w:sz="4" w:space="0"/>
              <w:bottom w:val="single" w:color="auto" w:sz="4" w:space="0"/>
              <w:right w:val="single" w:color="auto" w:sz="4" w:space="0"/>
            </w:tcBorders>
            <w:noWrap w:val="0"/>
            <w:vAlign w:val="center"/>
          </w:tcPr>
          <w:p w14:paraId="6FF0A2C7">
            <w:pPr>
              <w:keepNext w:val="0"/>
              <w:keepLines w:val="0"/>
              <w:widowControl w:val="0"/>
              <w:suppressLineNumbers w:val="0"/>
              <w:adjustRightInd w:val="0"/>
              <w:snapToGrid w:val="0"/>
              <w:spacing w:before="0" w:beforeAutospacing="0" w:after="0" w:afterAutospacing="0" w:line="340" w:lineRule="exact"/>
              <w:ind w:left="0" w:right="0"/>
              <w:jc w:val="both"/>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项目组人员配备10人以上的得5分，5人（含）-10人（含）的得3分，5人以下的不得分。</w:t>
            </w:r>
          </w:p>
          <w:p w14:paraId="01C9D557">
            <w:pPr>
              <w:keepNext w:val="0"/>
              <w:keepLines w:val="0"/>
              <w:widowControl w:val="0"/>
              <w:suppressLineNumbers w:val="0"/>
              <w:adjustRightInd w:val="0"/>
              <w:snapToGrid w:val="0"/>
              <w:spacing w:before="0" w:beforeAutospacing="0" w:after="0" w:afterAutospacing="0" w:line="340" w:lineRule="exact"/>
              <w:ind w:left="0" w:right="0"/>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须提供项目组人员身份证原件扫描件及意外险保单原件扫描件，未提供不得分。</w:t>
            </w:r>
          </w:p>
        </w:tc>
      </w:tr>
      <w:tr w14:paraId="5BEFB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20" w:type="pct"/>
            <w:vMerge w:val="continue"/>
            <w:tcBorders>
              <w:left w:val="single" w:color="auto" w:sz="4" w:space="0"/>
              <w:right w:val="single" w:color="auto" w:sz="4" w:space="0"/>
            </w:tcBorders>
            <w:noWrap w:val="0"/>
            <w:vAlign w:val="center"/>
          </w:tcPr>
          <w:p w14:paraId="543195CA">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972" w:type="pct"/>
            <w:vMerge w:val="continue"/>
            <w:tcBorders>
              <w:left w:val="single" w:color="auto" w:sz="4" w:space="0"/>
              <w:right w:val="single" w:color="auto" w:sz="4" w:space="0"/>
            </w:tcBorders>
            <w:noWrap w:val="0"/>
            <w:vAlign w:val="center"/>
          </w:tcPr>
          <w:p w14:paraId="08EBB26E">
            <w:pPr>
              <w:keepNext w:val="0"/>
              <w:keepLines w:val="0"/>
              <w:widowControl w:val="0"/>
              <w:suppressLineNumbers w:val="0"/>
              <w:spacing w:before="0" w:beforeAutospacing="0" w:after="0" w:afterAutospacing="0" w:line="340" w:lineRule="exact"/>
              <w:ind w:left="0" w:right="0"/>
              <w:jc w:val="center"/>
              <w:rPr>
                <w:rFonts w:hint="default" w:ascii="宋体" w:hAnsi="宋体" w:eastAsia="宋体" w:cs="宋体"/>
                <w:b/>
                <w:bCs w:val="0"/>
                <w:color w:val="000000" w:themeColor="text1"/>
                <w:sz w:val="21"/>
                <w:szCs w:val="21"/>
                <w:highlight w:val="none"/>
                <w:lang w:val="en-US"/>
                <w14:textFill>
                  <w14:solidFill>
                    <w14:schemeClr w14:val="tx1"/>
                  </w14:solidFill>
                </w14:textFill>
              </w:rPr>
            </w:pPr>
          </w:p>
        </w:tc>
        <w:tc>
          <w:tcPr>
            <w:tcW w:w="3607" w:type="pct"/>
            <w:tcBorders>
              <w:top w:val="single" w:color="auto" w:sz="4" w:space="0"/>
              <w:left w:val="single" w:color="auto" w:sz="4" w:space="0"/>
              <w:bottom w:val="single" w:color="auto" w:sz="4" w:space="0"/>
              <w:right w:val="single" w:color="auto" w:sz="4" w:space="0"/>
            </w:tcBorders>
            <w:noWrap w:val="0"/>
            <w:vAlign w:val="center"/>
          </w:tcPr>
          <w:p w14:paraId="674216EB">
            <w:pPr>
              <w:keepNext w:val="0"/>
              <w:keepLines w:val="0"/>
              <w:widowControl w:val="0"/>
              <w:suppressLineNumbers w:val="0"/>
              <w:adjustRightInd w:val="0"/>
              <w:snapToGrid w:val="0"/>
              <w:spacing w:before="0" w:beforeAutospacing="0" w:after="0" w:afterAutospacing="0" w:line="340" w:lineRule="exact"/>
              <w:ind w:left="0" w:right="0"/>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zh-CN" w:eastAsia="zh-CN"/>
                <w14:textFill>
                  <w14:solidFill>
                    <w14:schemeClr w14:val="tx1"/>
                  </w14:solidFill>
                </w14:textFill>
              </w:rPr>
              <w:t>各类抢维修工具、机械设备及操作规范。</w:t>
            </w:r>
            <w:r>
              <w:rPr>
                <w:rFonts w:hint="eastAsia" w:ascii="宋体" w:hAnsi="宋体" w:eastAsia="宋体" w:cs="宋体"/>
                <w:color w:val="000000" w:themeColor="text1"/>
                <w:sz w:val="21"/>
                <w:szCs w:val="21"/>
                <w:highlight w:val="none"/>
                <w:lang w:val="en-US" w:eastAsia="zh-CN"/>
                <w14:textFill>
                  <w14:solidFill>
                    <w14:schemeClr w14:val="tx1"/>
                  </w14:solidFill>
                </w14:textFill>
              </w:rPr>
              <w:t>0-5分。</w:t>
            </w:r>
          </w:p>
          <w:p w14:paraId="0C977BC1">
            <w:pPr>
              <w:keepNext w:val="0"/>
              <w:keepLines w:val="0"/>
              <w:widowControl w:val="0"/>
              <w:suppressLineNumbers w:val="0"/>
              <w:adjustRightInd w:val="0"/>
              <w:snapToGrid w:val="0"/>
              <w:spacing w:before="0" w:beforeAutospacing="0" w:after="0" w:afterAutospacing="0" w:line="340" w:lineRule="exact"/>
              <w:ind w:left="0" w:right="0"/>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相关工具</w:t>
            </w:r>
            <w:r>
              <w:rPr>
                <w:rFonts w:hint="eastAsia" w:ascii="宋体" w:hAnsi="宋体" w:eastAsia="宋体" w:cs="宋体"/>
                <w:color w:val="000000" w:themeColor="text1"/>
                <w:sz w:val="21"/>
                <w:szCs w:val="21"/>
                <w:highlight w:val="none"/>
                <w:lang w:val="zh-CN" w:eastAsia="zh-CN"/>
                <w14:textFill>
                  <w14:solidFill>
                    <w14:schemeClr w14:val="tx1"/>
                  </w14:solidFill>
                </w14:textFill>
              </w:rPr>
              <w:t>设备</w:t>
            </w:r>
            <w:r>
              <w:rPr>
                <w:rFonts w:hint="eastAsia" w:ascii="宋体" w:hAnsi="宋体" w:eastAsia="宋体" w:cs="宋体"/>
                <w:color w:val="000000" w:themeColor="text1"/>
                <w:sz w:val="21"/>
                <w:szCs w:val="21"/>
                <w:highlight w:val="none"/>
                <w:lang w:val="en-US" w:eastAsia="zh-CN"/>
                <w14:textFill>
                  <w14:solidFill>
                    <w14:schemeClr w14:val="tx1"/>
                  </w14:solidFill>
                </w14:textFill>
              </w:rPr>
              <w:t>需提供发票扫描件或</w:t>
            </w:r>
            <w:r>
              <w:rPr>
                <w:rFonts w:hint="eastAsia" w:ascii="宋体" w:hAnsi="宋体" w:cs="宋体"/>
                <w:color w:val="000000" w:themeColor="text1"/>
                <w:sz w:val="21"/>
                <w:szCs w:val="21"/>
                <w:highlight w:val="none"/>
                <w:lang w:val="en-US" w:eastAsia="zh-CN"/>
                <w14:textFill>
                  <w14:solidFill>
                    <w14:schemeClr w14:val="tx1"/>
                  </w14:solidFill>
                </w14:textFill>
              </w:rPr>
              <w:t>租赁合同扫描件</w:t>
            </w:r>
            <w:r>
              <w:rPr>
                <w:rFonts w:hint="eastAsia" w:ascii="宋体" w:hAnsi="宋体" w:eastAsia="宋体" w:cs="宋体"/>
                <w:color w:val="000000" w:themeColor="text1"/>
                <w:sz w:val="21"/>
                <w:szCs w:val="21"/>
                <w:highlight w:val="none"/>
                <w:lang w:val="en-US" w:eastAsia="zh-CN"/>
                <w14:textFill>
                  <w14:solidFill>
                    <w14:schemeClr w14:val="tx1"/>
                  </w14:solidFill>
                </w14:textFill>
              </w:rPr>
              <w:t>，并提供</w:t>
            </w:r>
            <w:r>
              <w:rPr>
                <w:rFonts w:hint="eastAsia" w:ascii="宋体" w:hAnsi="宋体" w:cs="宋体"/>
                <w:color w:val="000000" w:themeColor="text1"/>
                <w:sz w:val="21"/>
                <w:szCs w:val="21"/>
                <w:highlight w:val="none"/>
                <w:lang w:val="en-US" w:eastAsia="zh-CN"/>
                <w14:textFill>
                  <w14:solidFill>
                    <w14:schemeClr w14:val="tx1"/>
                  </w14:solidFill>
                </w14:textFill>
              </w:rPr>
              <w:t>相应</w:t>
            </w:r>
            <w:r>
              <w:rPr>
                <w:rFonts w:hint="eastAsia" w:ascii="宋体" w:hAnsi="宋体" w:eastAsia="宋体" w:cs="宋体"/>
                <w:color w:val="000000" w:themeColor="text1"/>
                <w:sz w:val="21"/>
                <w:szCs w:val="21"/>
                <w:highlight w:val="none"/>
                <w:lang w:val="en-US" w:eastAsia="zh-CN"/>
                <w14:textFill>
                  <w14:solidFill>
                    <w14:schemeClr w14:val="tx1"/>
                  </w14:solidFill>
                </w14:textFill>
              </w:rPr>
              <w:t>工具设备图片。</w:t>
            </w:r>
          </w:p>
        </w:tc>
      </w:tr>
      <w:tr w14:paraId="61FD4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20" w:type="pct"/>
            <w:vMerge w:val="continue"/>
            <w:tcBorders>
              <w:left w:val="single" w:color="auto" w:sz="4" w:space="0"/>
              <w:right w:val="single" w:color="auto" w:sz="4" w:space="0"/>
            </w:tcBorders>
            <w:noWrap w:val="0"/>
            <w:vAlign w:val="center"/>
          </w:tcPr>
          <w:p w14:paraId="3AE651AC">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972" w:type="pct"/>
            <w:vMerge w:val="continue"/>
            <w:tcBorders>
              <w:left w:val="single" w:color="auto" w:sz="4" w:space="0"/>
              <w:right w:val="single" w:color="auto" w:sz="4" w:space="0"/>
            </w:tcBorders>
            <w:noWrap w:val="0"/>
            <w:vAlign w:val="center"/>
          </w:tcPr>
          <w:p w14:paraId="6F21A824">
            <w:pPr>
              <w:keepNext w:val="0"/>
              <w:keepLines w:val="0"/>
              <w:widowControl w:val="0"/>
              <w:suppressLineNumbers w:val="0"/>
              <w:spacing w:before="0" w:beforeAutospacing="0" w:after="0" w:afterAutospacing="0" w:line="340" w:lineRule="exact"/>
              <w:ind w:left="0" w:right="0"/>
              <w:jc w:val="center"/>
              <w:rPr>
                <w:rFonts w:hint="default" w:ascii="宋体" w:hAnsi="宋体" w:eastAsia="宋体" w:cs="宋体"/>
                <w:b/>
                <w:bCs w:val="0"/>
                <w:color w:val="000000" w:themeColor="text1"/>
                <w:sz w:val="21"/>
                <w:szCs w:val="21"/>
                <w:highlight w:val="none"/>
                <w:lang w:val="en-US"/>
                <w14:textFill>
                  <w14:solidFill>
                    <w14:schemeClr w14:val="tx1"/>
                  </w14:solidFill>
                </w14:textFill>
              </w:rPr>
            </w:pPr>
          </w:p>
        </w:tc>
        <w:tc>
          <w:tcPr>
            <w:tcW w:w="3607" w:type="pct"/>
            <w:tcBorders>
              <w:top w:val="single" w:color="auto" w:sz="4" w:space="0"/>
              <w:left w:val="single" w:color="auto" w:sz="4" w:space="0"/>
              <w:bottom w:val="single" w:color="auto" w:sz="4" w:space="0"/>
              <w:right w:val="single" w:color="auto" w:sz="4" w:space="0"/>
            </w:tcBorders>
            <w:noWrap w:val="0"/>
            <w:vAlign w:val="center"/>
          </w:tcPr>
          <w:p w14:paraId="5EBFD620">
            <w:pPr>
              <w:keepNext w:val="0"/>
              <w:keepLines w:val="0"/>
              <w:widowControl w:val="0"/>
              <w:suppressLineNumbers w:val="0"/>
              <w:adjustRightInd w:val="0"/>
              <w:snapToGrid w:val="0"/>
              <w:spacing w:before="0" w:beforeAutospacing="0" w:after="0" w:afterAutospacing="0" w:line="340" w:lineRule="exact"/>
              <w:ind w:left="0" w:right="0"/>
              <w:jc w:val="both"/>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sz w:val="21"/>
                <w:szCs w:val="21"/>
                <w:highlight w:val="none"/>
                <w:lang w:val="zh-CN" w:eastAsia="zh-CN"/>
                <w14:textFill>
                  <w14:solidFill>
                    <w14:schemeClr w14:val="tx1"/>
                  </w14:solidFill>
                </w14:textFill>
              </w:rPr>
              <w:t>对于抢维修片区内给水管道的施工方案及安全措施（</w:t>
            </w:r>
            <w:r>
              <w:rPr>
                <w:rFonts w:hint="eastAsia" w:ascii="宋体" w:hAnsi="宋体" w:eastAsia="宋体" w:cs="宋体"/>
                <w:color w:val="000000" w:themeColor="text1"/>
                <w:sz w:val="21"/>
                <w:szCs w:val="21"/>
                <w:highlight w:val="none"/>
                <w:lang w:val="en-US" w:eastAsia="zh-CN"/>
                <w14:textFill>
                  <w14:solidFill>
                    <w14:schemeClr w14:val="tx1"/>
                  </w14:solidFill>
                </w14:textFill>
              </w:rPr>
              <w:t>DN100-800管的各类型的管材</w:t>
            </w:r>
            <w:r>
              <w:rPr>
                <w:rFonts w:hint="eastAsia" w:ascii="宋体" w:hAnsi="宋体" w:eastAsia="宋体" w:cs="宋体"/>
                <w:color w:val="000000" w:themeColor="text1"/>
                <w:sz w:val="21"/>
                <w:szCs w:val="21"/>
                <w:highlight w:val="none"/>
                <w:lang w:val="zh-CN" w:eastAsia="zh-CN"/>
                <w14:textFill>
                  <w14:solidFill>
                    <w14:schemeClr w14:val="tx1"/>
                  </w14:solidFill>
                </w14:textFill>
              </w:rPr>
              <w:t>）。良好得</w:t>
            </w:r>
            <w:r>
              <w:rPr>
                <w:rFonts w:hint="eastAsia" w:ascii="宋体" w:hAnsi="宋体" w:eastAsia="宋体" w:cs="宋体"/>
                <w:color w:val="000000" w:themeColor="text1"/>
                <w:sz w:val="21"/>
                <w:szCs w:val="21"/>
                <w:highlight w:val="none"/>
                <w:lang w:val="en-US" w:eastAsia="zh-CN"/>
                <w14:textFill>
                  <w14:solidFill>
                    <w14:schemeClr w14:val="tx1"/>
                  </w14:solidFill>
                </w14:textFill>
              </w:rPr>
              <w:t>20-15分；较好得15-10分；一般10-0分。</w:t>
            </w:r>
          </w:p>
        </w:tc>
      </w:tr>
      <w:tr w14:paraId="60111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20" w:type="pct"/>
            <w:vMerge w:val="continue"/>
            <w:tcBorders>
              <w:left w:val="single" w:color="auto" w:sz="4" w:space="0"/>
              <w:bottom w:val="single" w:color="auto" w:sz="4" w:space="0"/>
              <w:right w:val="single" w:color="auto" w:sz="4" w:space="0"/>
            </w:tcBorders>
            <w:noWrap w:val="0"/>
            <w:vAlign w:val="center"/>
          </w:tcPr>
          <w:p w14:paraId="04BBCE71">
            <w:pPr>
              <w:keepNext w:val="0"/>
              <w:keepLines w:val="0"/>
              <w:widowControl w:val="0"/>
              <w:suppressLineNumbers w:val="0"/>
              <w:spacing w:before="0" w:beforeAutospacing="0" w:after="0" w:afterAutospacing="0" w:line="340" w:lineRule="exact"/>
              <w:ind w:left="0" w:right="0"/>
              <w:jc w:val="center"/>
              <w:rPr>
                <w:rFonts w:hint="eastAsia" w:ascii="宋体" w:hAnsi="宋体" w:cs="宋体"/>
                <w:color w:val="000000" w:themeColor="text1"/>
                <w:sz w:val="21"/>
                <w:szCs w:val="21"/>
                <w:highlight w:val="none"/>
                <w:lang w:val="en-US" w:eastAsia="zh-CN"/>
                <w14:textFill>
                  <w14:solidFill>
                    <w14:schemeClr w14:val="tx1"/>
                  </w14:solidFill>
                </w14:textFill>
              </w:rPr>
            </w:pPr>
          </w:p>
        </w:tc>
        <w:tc>
          <w:tcPr>
            <w:tcW w:w="972" w:type="pct"/>
            <w:vMerge w:val="continue"/>
            <w:tcBorders>
              <w:left w:val="single" w:color="auto" w:sz="4" w:space="0"/>
              <w:bottom w:val="single" w:color="auto" w:sz="4" w:space="0"/>
              <w:right w:val="single" w:color="auto" w:sz="4" w:space="0"/>
            </w:tcBorders>
            <w:noWrap w:val="0"/>
            <w:vAlign w:val="center"/>
          </w:tcPr>
          <w:p w14:paraId="2FAB9805">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val="0"/>
                <w:color w:val="000000" w:themeColor="text1"/>
                <w:sz w:val="21"/>
                <w:szCs w:val="21"/>
                <w:highlight w:val="none"/>
                <w14:textFill>
                  <w14:solidFill>
                    <w14:schemeClr w14:val="tx1"/>
                  </w14:solidFill>
                </w14:textFill>
              </w:rPr>
            </w:pPr>
          </w:p>
        </w:tc>
        <w:tc>
          <w:tcPr>
            <w:tcW w:w="3607" w:type="pct"/>
            <w:tcBorders>
              <w:top w:val="single" w:color="auto" w:sz="4" w:space="0"/>
              <w:left w:val="single" w:color="auto" w:sz="4" w:space="0"/>
              <w:bottom w:val="single" w:color="auto" w:sz="4" w:space="0"/>
              <w:right w:val="single" w:color="auto" w:sz="4" w:space="0"/>
            </w:tcBorders>
            <w:noWrap w:val="0"/>
            <w:vAlign w:val="center"/>
          </w:tcPr>
          <w:p w14:paraId="04E35A97">
            <w:pPr>
              <w:keepNext w:val="0"/>
              <w:keepLines w:val="0"/>
              <w:widowControl w:val="0"/>
              <w:suppressLineNumbers w:val="0"/>
              <w:adjustRightInd w:val="0"/>
              <w:snapToGrid w:val="0"/>
              <w:spacing w:before="0" w:beforeAutospacing="0" w:after="0" w:afterAutospacing="0" w:line="340" w:lineRule="exact"/>
              <w:ind w:left="0" w:right="0"/>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zh-CN" w:eastAsia="zh-CN"/>
                <w14:textFill>
                  <w14:solidFill>
                    <w14:schemeClr w14:val="tx1"/>
                  </w14:solidFill>
                </w14:textFill>
              </w:rPr>
              <w:t>接到维修热线赶到现场时间：半小时内得</w:t>
            </w:r>
            <w:r>
              <w:rPr>
                <w:rFonts w:hint="eastAsia" w:ascii="宋体" w:hAnsi="宋体" w:eastAsia="宋体" w:cs="宋体"/>
                <w:color w:val="000000" w:themeColor="text1"/>
                <w:sz w:val="21"/>
                <w:szCs w:val="21"/>
                <w:highlight w:val="none"/>
                <w:lang w:val="en-US" w:eastAsia="zh-CN"/>
                <w14:textFill>
                  <w14:solidFill>
                    <w14:schemeClr w14:val="tx1"/>
                  </w14:solidFill>
                </w14:textFill>
              </w:rPr>
              <w:t>5分；1小时内得3分。</w:t>
            </w:r>
          </w:p>
          <w:p w14:paraId="69899B7C">
            <w:pPr>
              <w:keepNext w:val="0"/>
              <w:keepLines w:val="0"/>
              <w:widowControl w:val="0"/>
              <w:suppressLineNumbers w:val="0"/>
              <w:adjustRightInd w:val="0"/>
              <w:snapToGrid w:val="0"/>
              <w:spacing w:before="0" w:beforeAutospacing="0" w:after="0" w:afterAutospacing="0" w:line="340" w:lineRule="exact"/>
              <w:ind w:left="0" w:right="0"/>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须提供承诺函</w:t>
            </w:r>
            <w:r>
              <w:rPr>
                <w:rFonts w:hint="eastAsia" w:ascii="宋体" w:hAnsi="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格式自拟</w:t>
            </w:r>
            <w:r>
              <w:rPr>
                <w:rFonts w:hint="eastAsia" w:ascii="宋体" w:hAnsi="宋体" w:cs="宋体"/>
                <w:color w:val="000000" w:themeColor="text1"/>
                <w:sz w:val="21"/>
                <w:szCs w:val="21"/>
                <w:highlight w:val="none"/>
                <w:lang w:val="en-US" w:eastAsia="zh-CN"/>
                <w14:textFill>
                  <w14:solidFill>
                    <w14:schemeClr w14:val="tx1"/>
                  </w14:solidFill>
                </w14:textFill>
              </w:rPr>
              <w:t>），不提供不得分</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p>
        </w:tc>
      </w:tr>
      <w:tr w14:paraId="062F2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420" w:type="pct"/>
            <w:tcBorders>
              <w:top w:val="single" w:color="auto" w:sz="4" w:space="0"/>
              <w:left w:val="single" w:color="auto" w:sz="4" w:space="0"/>
              <w:bottom w:val="single" w:color="auto" w:sz="4" w:space="0"/>
              <w:right w:val="single" w:color="auto" w:sz="4" w:space="0"/>
            </w:tcBorders>
            <w:noWrap w:val="0"/>
            <w:vAlign w:val="center"/>
          </w:tcPr>
          <w:p w14:paraId="2F3F7402">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w:t>
            </w:r>
          </w:p>
        </w:tc>
        <w:tc>
          <w:tcPr>
            <w:tcW w:w="972" w:type="pct"/>
            <w:tcBorders>
              <w:top w:val="single" w:color="auto" w:sz="4" w:space="0"/>
              <w:left w:val="single" w:color="auto" w:sz="4" w:space="0"/>
              <w:bottom w:val="single" w:color="auto" w:sz="4" w:space="0"/>
              <w:right w:val="single" w:color="auto" w:sz="4" w:space="0"/>
            </w:tcBorders>
            <w:noWrap w:val="0"/>
            <w:vAlign w:val="center"/>
          </w:tcPr>
          <w:p w14:paraId="7410B83E">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提问答辩</w:t>
            </w:r>
          </w:p>
          <w:p w14:paraId="66859F47">
            <w:pPr>
              <w:keepNext w:val="0"/>
              <w:keepLines w:val="0"/>
              <w:widowControl w:val="0"/>
              <w:suppressLineNumbers w:val="0"/>
              <w:spacing w:before="0" w:beforeAutospacing="0" w:after="0" w:afterAutospacing="0" w:line="340" w:lineRule="exact"/>
              <w:ind w:left="0" w:right="0"/>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w:t>
            </w:r>
            <w:r>
              <w:rPr>
                <w:rFonts w:hint="eastAsia" w:ascii="宋体" w:hAnsi="宋体" w:cs="宋体"/>
                <w:b/>
                <w:bCs/>
                <w:color w:val="000000" w:themeColor="text1"/>
                <w:sz w:val="21"/>
                <w:szCs w:val="21"/>
                <w:highlight w:val="none"/>
                <w:lang w:val="en-US" w:eastAsia="zh-CN"/>
                <w14:textFill>
                  <w14:solidFill>
                    <w14:schemeClr w14:val="tx1"/>
                  </w14:solidFill>
                </w14:textFill>
              </w:rPr>
              <w:t>25</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分）</w:t>
            </w:r>
          </w:p>
        </w:tc>
        <w:tc>
          <w:tcPr>
            <w:tcW w:w="3607" w:type="pct"/>
            <w:tcBorders>
              <w:top w:val="single" w:color="auto" w:sz="4" w:space="0"/>
              <w:left w:val="single" w:color="auto" w:sz="4" w:space="0"/>
              <w:bottom w:val="single" w:color="auto" w:sz="4" w:space="0"/>
              <w:right w:val="single" w:color="auto" w:sz="4" w:space="0"/>
            </w:tcBorders>
            <w:noWrap w:val="0"/>
            <w:vAlign w:val="center"/>
          </w:tcPr>
          <w:p w14:paraId="6A694E67">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是否有该片区地块或者较近的施工队人员组成；</w:t>
            </w:r>
          </w:p>
          <w:p w14:paraId="135B2A55">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是否对该片区的给水管网熟悉度；</w:t>
            </w:r>
          </w:p>
          <w:p w14:paraId="6E1A9A14">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zh-CN"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是否有该片区的其它人文优势；</w:t>
            </w:r>
          </w:p>
          <w:p w14:paraId="7353FA48">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zh-CN"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是否参与过该片区的给水管道安装、水表安装、抢维修及类似的工程；</w:t>
            </w:r>
          </w:p>
          <w:p w14:paraId="47E004C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（5）其它。</w:t>
            </w:r>
          </w:p>
          <w:p w14:paraId="5E028950">
            <w:pPr>
              <w:keepNext w:val="0"/>
              <w:keepLines w:val="0"/>
              <w:widowControl w:val="0"/>
              <w:suppressLineNumbers w:val="0"/>
              <w:adjustRightInd w:val="0"/>
              <w:snapToGrid w:val="0"/>
              <w:spacing w:before="0" w:beforeAutospacing="0" w:after="0" w:afterAutospacing="0" w:line="320" w:lineRule="exact"/>
              <w:ind w:left="0" w:right="0"/>
              <w:jc w:val="both"/>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pPr>
            <w:r>
              <w:rPr>
                <w:rFonts w:hint="eastAsia" w:ascii="宋体" w:hAnsi="宋体" w:eastAsia="宋体" w:cs="宋体"/>
                <w:color w:val="000000" w:themeColor="text1"/>
                <w:sz w:val="21"/>
                <w:szCs w:val="21"/>
                <w:highlight w:val="none"/>
                <w:lang w:val="zh-CN" w:eastAsia="zh-CN"/>
                <w14:textFill>
                  <w14:solidFill>
                    <w14:schemeClr w14:val="tx1"/>
                  </w14:solidFill>
                </w14:textFill>
              </w:rPr>
              <w:t>良好得</w:t>
            </w:r>
            <w:r>
              <w:rPr>
                <w:rFonts w:hint="eastAsia" w:ascii="宋体" w:hAnsi="宋体" w:eastAsia="宋体" w:cs="宋体"/>
                <w:color w:val="000000" w:themeColor="text1"/>
                <w:sz w:val="21"/>
                <w:szCs w:val="21"/>
                <w:highlight w:val="none"/>
                <w:lang w:val="en-US" w:eastAsia="zh-CN"/>
                <w14:textFill>
                  <w14:solidFill>
                    <w14:schemeClr w14:val="tx1"/>
                  </w14:solidFill>
                </w14:textFill>
              </w:rPr>
              <w:t>25-17分；较好得17-10分；一般10-0分。</w:t>
            </w:r>
          </w:p>
        </w:tc>
      </w:tr>
      <w:bookmarkEnd w:id="302"/>
    </w:tbl>
    <w:p w14:paraId="792364D5">
      <w:pPr>
        <w:spacing w:line="450" w:lineRule="exact"/>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4.5</w:t>
      </w:r>
      <w:r>
        <w:rPr>
          <w:rFonts w:hint="eastAsia" w:ascii="宋体" w:hAnsi="宋体" w:eastAsia="宋体" w:cs="宋体"/>
          <w:b/>
          <w:color w:val="000000" w:themeColor="text1"/>
          <w:sz w:val="22"/>
          <w:szCs w:val="22"/>
          <w:highlight w:val="none"/>
          <w:lang w:val="en-US" w:eastAsia="zh-CN"/>
          <w14:textFill>
            <w14:solidFill>
              <w14:schemeClr w14:val="tx1"/>
            </w14:solidFill>
          </w14:textFill>
        </w:rPr>
        <w:t xml:space="preserve"> </w:t>
      </w:r>
      <w:r>
        <w:rPr>
          <w:rFonts w:hint="eastAsia" w:ascii="宋体" w:hAnsi="宋体" w:eastAsia="宋体" w:cs="宋体"/>
          <w:b/>
          <w:color w:val="000000" w:themeColor="text1"/>
          <w:sz w:val="22"/>
          <w:szCs w:val="22"/>
          <w:highlight w:val="none"/>
          <w14:textFill>
            <w14:solidFill>
              <w14:schemeClr w14:val="tx1"/>
            </w14:solidFill>
          </w14:textFill>
        </w:rPr>
        <w:t>投标文件的综合评分</w:t>
      </w:r>
    </w:p>
    <w:p w14:paraId="1B76B3DA">
      <w:pPr>
        <w:keepNext w:val="0"/>
        <w:keepLines w:val="0"/>
        <w:widowControl w:val="0"/>
        <w:suppressLineNumbers w:val="0"/>
        <w:spacing w:before="0" w:beforeAutospacing="0" w:after="0" w:afterAutospacing="0" w:line="340" w:lineRule="exact"/>
        <w:ind w:left="0" w:right="0"/>
        <w:jc w:val="both"/>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投标文件的综合</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评分（总分100分）=报价部分+技术方案+提问答辩。</w:t>
      </w:r>
    </w:p>
    <w:p w14:paraId="11173DC3">
      <w:pPr>
        <w:spacing w:line="450" w:lineRule="exact"/>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4.6 推荐中标候选人</w:t>
      </w:r>
    </w:p>
    <w:p w14:paraId="2496327A">
      <w:pPr>
        <w:snapToGrid w:val="0"/>
        <w:spacing w:line="450" w:lineRule="exact"/>
        <w:ind w:firstLine="466" w:firstLineChars="212"/>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每个片区中标候选人1家，投标人不能重复中标，如已在其它片区是第1中标候选人的，将自动退出后续片区的评审，以此类推。</w:t>
      </w:r>
    </w:p>
    <w:p w14:paraId="205821D6">
      <w:pPr>
        <w:snapToGrid w:val="0"/>
        <w:spacing w:line="450" w:lineRule="exact"/>
        <w:ind w:firstLine="466" w:firstLineChars="212"/>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2、中标候选人按相关规定公示3天无异议后，招标人根据评标委员会提出的评标报告，推荐的中标候选人为中标人。</w:t>
      </w:r>
    </w:p>
    <w:p w14:paraId="58BC4217">
      <w:pPr>
        <w:snapToGrid w:val="0"/>
        <w:spacing w:line="450" w:lineRule="exact"/>
        <w:ind w:firstLine="466" w:firstLineChars="212"/>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3、决标后，招标人应将决标结果报</w:t>
      </w:r>
      <w:r>
        <w:rPr>
          <w:rFonts w:hint="eastAsia" w:ascii="宋体" w:hAnsi="宋体" w:eastAsia="宋体" w:cs="宋体"/>
          <w:bCs/>
          <w:color w:val="000000" w:themeColor="text1"/>
          <w:sz w:val="22"/>
          <w:szCs w:val="22"/>
          <w:highlight w:val="none"/>
          <w:lang w:eastAsia="zh-CN"/>
          <w14:textFill>
            <w14:solidFill>
              <w14:schemeClr w14:val="tx1"/>
            </w14:solidFill>
          </w14:textFill>
        </w:rPr>
        <w:t>龙游县水务集团有限公司</w:t>
      </w:r>
      <w:r>
        <w:rPr>
          <w:rFonts w:hint="eastAsia" w:ascii="宋体" w:hAnsi="宋体" w:eastAsia="宋体" w:cs="宋体"/>
          <w:bCs/>
          <w:color w:val="000000" w:themeColor="text1"/>
          <w:sz w:val="22"/>
          <w:szCs w:val="22"/>
          <w:highlight w:val="none"/>
          <w14:textFill>
            <w14:solidFill>
              <w14:schemeClr w14:val="tx1"/>
            </w14:solidFill>
          </w14:textFill>
        </w:rPr>
        <w:t>备案，并向</w:t>
      </w:r>
      <w:r>
        <w:rPr>
          <w:rFonts w:hint="eastAsia" w:ascii="宋体" w:hAnsi="宋体" w:eastAsia="宋体" w:cs="宋体"/>
          <w:bCs/>
          <w:color w:val="000000" w:themeColor="text1"/>
          <w:sz w:val="22"/>
          <w:szCs w:val="22"/>
          <w:highlight w:val="none"/>
          <w:lang w:val="en-US" w:eastAsia="zh-CN"/>
          <w14:textFill>
            <w14:solidFill>
              <w14:schemeClr w14:val="tx1"/>
            </w14:solidFill>
          </w14:textFill>
        </w:rPr>
        <w:t>中标候选人</w:t>
      </w:r>
      <w:r>
        <w:rPr>
          <w:rFonts w:hint="eastAsia" w:ascii="宋体" w:hAnsi="宋体" w:eastAsia="宋体" w:cs="宋体"/>
          <w:bCs/>
          <w:color w:val="000000" w:themeColor="text1"/>
          <w:sz w:val="22"/>
          <w:szCs w:val="22"/>
          <w:highlight w:val="none"/>
          <w14:textFill>
            <w14:solidFill>
              <w14:schemeClr w14:val="tx1"/>
            </w14:solidFill>
          </w14:textFill>
        </w:rPr>
        <w:t>发出中标通知书。</w:t>
      </w:r>
    </w:p>
    <w:p w14:paraId="3BC375E8">
      <w:pPr>
        <w:snapToGrid w:val="0"/>
        <w:spacing w:line="450" w:lineRule="exact"/>
        <w:ind w:firstLine="466" w:firstLineChars="212"/>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4、本办法由招标人负责解释。</w:t>
      </w:r>
    </w:p>
    <w:p w14:paraId="386C62C4">
      <w:pPr>
        <w:rPr>
          <w:rFonts w:hint="eastAsia" w:ascii="宋体" w:hAnsi="宋体" w:eastAsia="宋体" w:cs="宋体"/>
          <w:color w:val="000000" w:themeColor="text1"/>
          <w:sz w:val="36"/>
          <w:szCs w:val="36"/>
          <w:highlight w:val="none"/>
          <w14:textFill>
            <w14:solidFill>
              <w14:schemeClr w14:val="tx1"/>
            </w14:solidFill>
          </w14:textFill>
        </w:rPr>
      </w:pPr>
      <w:bookmarkStart w:id="303" w:name="_Toc506120308"/>
      <w:r>
        <w:rPr>
          <w:rFonts w:hint="eastAsia" w:ascii="宋体" w:hAnsi="宋体" w:eastAsia="宋体" w:cs="宋体"/>
          <w:color w:val="000000" w:themeColor="text1"/>
          <w:sz w:val="36"/>
          <w:szCs w:val="36"/>
          <w:highlight w:val="none"/>
          <w14:textFill>
            <w14:solidFill>
              <w14:schemeClr w14:val="tx1"/>
            </w14:solidFill>
          </w14:textFill>
        </w:rPr>
        <w:br w:type="page"/>
      </w:r>
    </w:p>
    <w:p w14:paraId="3C573893">
      <w:pPr>
        <w:pStyle w:val="3"/>
        <w:snapToGrid w:val="0"/>
        <w:spacing w:before="0" w:after="312" w:afterLines="100" w:line="240" w:lineRule="auto"/>
        <w:jc w:val="center"/>
        <w:rPr>
          <w:rFonts w:hint="eastAsia" w:ascii="宋体" w:hAnsi="宋体" w:eastAsia="宋体" w:cs="宋体"/>
          <w:color w:val="000000" w:themeColor="text1"/>
          <w:sz w:val="36"/>
          <w:szCs w:val="36"/>
          <w:highlight w:val="none"/>
          <w14:textFill>
            <w14:solidFill>
              <w14:schemeClr w14:val="tx1"/>
            </w14:solidFill>
          </w14:textFill>
        </w:rPr>
      </w:pPr>
      <w:bookmarkStart w:id="304" w:name="_Toc3990"/>
      <w:r>
        <w:rPr>
          <w:rFonts w:hint="eastAsia" w:ascii="宋体" w:hAnsi="宋体" w:eastAsia="宋体" w:cs="宋体"/>
          <w:color w:val="000000" w:themeColor="text1"/>
          <w:sz w:val="36"/>
          <w:szCs w:val="36"/>
          <w:highlight w:val="none"/>
          <w14:textFill>
            <w14:solidFill>
              <w14:schemeClr w14:val="tx1"/>
            </w14:solidFill>
          </w14:textFill>
        </w:rPr>
        <w:t>第四章  合同条款及格式</w:t>
      </w:r>
      <w:bookmarkEnd w:id="303"/>
      <w:bookmarkEnd w:id="304"/>
    </w:p>
    <w:p w14:paraId="123D92A3">
      <w:pPr>
        <w:pStyle w:val="3"/>
        <w:numPr>
          <w:ilvl w:val="0"/>
          <w:numId w:val="2"/>
        </w:numPr>
        <w:jc w:val="center"/>
        <w:rPr>
          <w:rFonts w:hint="eastAsia" w:ascii="宋体" w:hAnsi="宋体" w:eastAsia="宋体" w:cs="宋体"/>
          <w:color w:val="000000" w:themeColor="text1"/>
          <w:highlight w:val="none"/>
          <w14:textFill>
            <w14:solidFill>
              <w14:schemeClr w14:val="tx1"/>
            </w14:solidFill>
          </w14:textFill>
        </w:rPr>
      </w:pPr>
      <w:bookmarkStart w:id="305" w:name="_Toc23962"/>
      <w:bookmarkStart w:id="306" w:name="_Toc15223"/>
      <w:r>
        <w:rPr>
          <w:rFonts w:hint="eastAsia" w:ascii="宋体" w:hAnsi="宋体" w:eastAsia="宋体" w:cs="宋体"/>
          <w:color w:val="000000" w:themeColor="text1"/>
          <w:highlight w:val="none"/>
          <w14:textFill>
            <w14:solidFill>
              <w14:schemeClr w14:val="tx1"/>
            </w14:solidFill>
          </w14:textFill>
        </w:rPr>
        <w:t>合同</w:t>
      </w:r>
      <w:r>
        <w:rPr>
          <w:rFonts w:hint="eastAsia" w:ascii="宋体" w:hAnsi="宋体" w:eastAsia="宋体" w:cs="宋体"/>
          <w:color w:val="000000" w:themeColor="text1"/>
          <w:highlight w:val="none"/>
          <w:lang w:val="en-US" w:eastAsia="zh-CN"/>
          <w14:textFill>
            <w14:solidFill>
              <w14:schemeClr w14:val="tx1"/>
            </w14:solidFill>
          </w14:textFill>
        </w:rPr>
        <w:t>模版</w:t>
      </w:r>
      <w:bookmarkEnd w:id="305"/>
      <w:bookmarkEnd w:id="306"/>
    </w:p>
    <w:p w14:paraId="00B4F207">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right="25" w:rightChars="12"/>
        <w:textAlignment w:val="auto"/>
        <w:rPr>
          <w:rFonts w:hint="eastAsia" w:ascii="宋体" w:hAnsi="宋体" w:eastAsia="宋体" w:cs="宋体"/>
          <w:color w:val="000000" w:themeColor="text1"/>
          <w:sz w:val="24"/>
          <w:szCs w:val="24"/>
          <w:highlight w:val="none"/>
          <w14:textFill>
            <w14:solidFill>
              <w14:schemeClr w14:val="tx1"/>
            </w14:solidFill>
          </w14:textFill>
        </w:rPr>
      </w:pPr>
      <w:bookmarkStart w:id="307" w:name="_Toc24411"/>
      <w:bookmarkStart w:id="308" w:name="_Toc506120317"/>
      <w:r>
        <w:rPr>
          <w:rFonts w:hint="eastAsia" w:ascii="宋体" w:hAnsi="宋体" w:eastAsia="宋体" w:cs="宋体"/>
          <w:color w:val="000000" w:themeColor="text1"/>
          <w:sz w:val="24"/>
          <w:szCs w:val="24"/>
          <w:highlight w:val="none"/>
          <w:lang w:eastAsia="zh-CN"/>
          <w14:textFill>
            <w14:solidFill>
              <w14:schemeClr w14:val="tx1"/>
            </w14:solidFill>
          </w14:textFill>
        </w:rPr>
        <w:t>发包人（全称</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（简称甲方）</w:t>
      </w:r>
    </w:p>
    <w:p w14:paraId="7B3D5CEA">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right="25" w:rightChars="12"/>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承包人（全称）</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（简称乙方）</w:t>
      </w:r>
    </w:p>
    <w:p w14:paraId="7540E780">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left="0" w:right="25" w:rightChars="12"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依照《中华人民共和国合同法》、《中华人民共和国建筑法》及其他有关法律、行政法规，遵循平等、自愿、公平和诚实信用的原则，双方就本建设工程施工事项协商一致，订立本合同。</w:t>
      </w:r>
    </w:p>
    <w:p w14:paraId="4D3C8332">
      <w:pPr>
        <w:pStyle w:val="9"/>
        <w:keepNext w:val="0"/>
        <w:keepLines w:val="0"/>
        <w:pageBreakBefore w:val="0"/>
        <w:widowControl/>
        <w:numPr>
          <w:ilvl w:val="0"/>
          <w:numId w:val="3"/>
        </w:numPr>
        <w:tabs>
          <w:tab w:val="left" w:pos="8460"/>
          <w:tab w:val="left" w:pos="8640"/>
        </w:tabs>
        <w:kinsoku/>
        <w:wordWrap/>
        <w:overflowPunct/>
        <w:topLinePunct w:val="0"/>
        <w:autoSpaceDE/>
        <w:autoSpaceDN/>
        <w:bidi w:val="0"/>
        <w:adjustRightInd/>
        <w:snapToGrid/>
        <w:spacing w:before="0" w:beforeAutospacing="0" w:after="0" w:afterAutospacing="0" w:line="360" w:lineRule="auto"/>
        <w:ind w:left="962" w:right="25" w:rightChars="12" w:hanging="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工程概况</w:t>
      </w:r>
    </w:p>
    <w:p w14:paraId="205F246B">
      <w:pPr>
        <w:pStyle w:val="9"/>
        <w:keepNext w:val="0"/>
        <w:keepLines w:val="0"/>
        <w:pageBreakBefore w:val="0"/>
        <w:widowControl/>
        <w:tabs>
          <w:tab w:val="left" w:pos="8460"/>
          <w:tab w:val="left" w:pos="8640"/>
        </w:tabs>
        <w:kinsoku/>
        <w:wordWrap/>
        <w:overflowPunct/>
        <w:topLinePunct w:val="0"/>
        <w:autoSpaceDE/>
        <w:autoSpaceDN/>
        <w:bidi w:val="0"/>
        <w:adjustRightInd/>
        <w:snapToGrid/>
        <w:spacing w:before="0" w:beforeAutospacing="0" w:after="0" w:afterAutospacing="0" w:line="360" w:lineRule="auto"/>
        <w:ind w:left="482" w:right="25" w:rightChars="12"/>
        <w:textAlignment w:val="auto"/>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p>
    <w:p w14:paraId="624A5B59">
      <w:pPr>
        <w:pStyle w:val="9"/>
        <w:keepNext w:val="0"/>
        <w:keepLines w:val="0"/>
        <w:pageBreakBefore w:val="0"/>
        <w:widowControl/>
        <w:tabs>
          <w:tab w:val="left" w:pos="8460"/>
          <w:tab w:val="left" w:pos="8640"/>
        </w:tabs>
        <w:kinsoku/>
        <w:wordWrap/>
        <w:overflowPunct/>
        <w:topLinePunct w:val="0"/>
        <w:autoSpaceDE/>
        <w:autoSpaceDN/>
        <w:bidi w:val="0"/>
        <w:adjustRightInd/>
        <w:snapToGrid/>
        <w:spacing w:before="0" w:beforeAutospacing="0" w:after="0" w:afterAutospacing="0" w:line="360" w:lineRule="auto"/>
        <w:ind w:left="482" w:right="25" w:rightChars="12"/>
        <w:textAlignment w:val="auto"/>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67E0DC3C">
      <w:pPr>
        <w:pStyle w:val="9"/>
        <w:keepNext w:val="0"/>
        <w:keepLines w:val="0"/>
        <w:pageBreakBefore w:val="0"/>
        <w:widowControl/>
        <w:tabs>
          <w:tab w:val="left" w:pos="8460"/>
          <w:tab w:val="left" w:pos="8640"/>
        </w:tabs>
        <w:kinsoku/>
        <w:wordWrap/>
        <w:overflowPunct/>
        <w:topLinePunct w:val="0"/>
        <w:autoSpaceDE/>
        <w:autoSpaceDN/>
        <w:bidi w:val="0"/>
        <w:adjustRightInd/>
        <w:snapToGrid/>
        <w:spacing w:before="0" w:beforeAutospacing="0" w:after="0" w:afterAutospacing="0" w:line="360" w:lineRule="auto"/>
        <w:ind w:left="482" w:right="25" w:rightChars="12"/>
        <w:textAlignment w:val="auto"/>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工程内容：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3D421A9D">
      <w:pPr>
        <w:pStyle w:val="9"/>
        <w:keepNext w:val="0"/>
        <w:keepLines w:val="0"/>
        <w:pageBreakBefore w:val="0"/>
        <w:widowControl/>
        <w:numPr>
          <w:ilvl w:val="0"/>
          <w:numId w:val="3"/>
        </w:numPr>
        <w:tabs>
          <w:tab w:val="left" w:pos="8460"/>
          <w:tab w:val="left" w:pos="8640"/>
        </w:tabs>
        <w:kinsoku/>
        <w:wordWrap/>
        <w:overflowPunct/>
        <w:topLinePunct w:val="0"/>
        <w:autoSpaceDE/>
        <w:autoSpaceDN/>
        <w:bidi w:val="0"/>
        <w:adjustRightInd/>
        <w:snapToGrid/>
        <w:spacing w:before="0" w:beforeAutospacing="0" w:after="0" w:afterAutospacing="0" w:line="360" w:lineRule="auto"/>
        <w:ind w:left="962" w:right="25" w:rightChars="12" w:hanging="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工程承包范围</w:t>
      </w:r>
    </w:p>
    <w:p w14:paraId="551D0C78">
      <w:pPr>
        <w:pStyle w:val="9"/>
        <w:keepNext w:val="0"/>
        <w:keepLines w:val="0"/>
        <w:pageBreakBefore w:val="0"/>
        <w:widowControl/>
        <w:tabs>
          <w:tab w:val="left" w:pos="8460"/>
          <w:tab w:val="left" w:pos="8640"/>
        </w:tabs>
        <w:kinsoku/>
        <w:wordWrap/>
        <w:overflowPunct/>
        <w:topLinePunct w:val="0"/>
        <w:autoSpaceDE/>
        <w:autoSpaceDN/>
        <w:bidi w:val="0"/>
        <w:adjustRightInd/>
        <w:snapToGrid/>
        <w:spacing w:before="0" w:beforeAutospacing="0" w:after="0" w:afterAutospacing="0" w:line="360" w:lineRule="auto"/>
        <w:ind w:left="482" w:right="25" w:rightChars="12"/>
        <w:textAlignment w:val="auto"/>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承包范围：施工图及施工预算书为准。</w:t>
      </w:r>
    </w:p>
    <w:p w14:paraId="15372694">
      <w:pPr>
        <w:pStyle w:val="9"/>
        <w:keepNext w:val="0"/>
        <w:keepLines w:val="0"/>
        <w:pageBreakBefore w:val="0"/>
        <w:widowControl/>
        <w:tabs>
          <w:tab w:val="left" w:pos="8460"/>
          <w:tab w:val="left" w:pos="8640"/>
        </w:tabs>
        <w:kinsoku/>
        <w:wordWrap/>
        <w:overflowPunct/>
        <w:topLinePunct w:val="0"/>
        <w:autoSpaceDE/>
        <w:autoSpaceDN/>
        <w:bidi w:val="0"/>
        <w:adjustRightInd/>
        <w:snapToGrid/>
        <w:spacing w:before="0" w:beforeAutospacing="0" w:after="0" w:afterAutospacing="0" w:line="360" w:lineRule="auto"/>
        <w:ind w:left="482" w:right="25" w:rightChars="12"/>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三、协议工期</w:t>
      </w:r>
    </w:p>
    <w:p w14:paraId="6AAFA61F">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right="25" w:rightChars="12" w:firstLine="48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开工日期：</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以开工报告为准</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1617952A">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right="25" w:rightChars="12" w:firstLine="48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u w:val="none"/>
          <w:lang w:eastAsia="zh-CN"/>
          <w14:textFill>
            <w14:solidFill>
              <w14:schemeClr w14:val="tx1"/>
            </w14:solidFill>
          </w14:textFill>
        </w:rPr>
        <w:t>竣工日期：</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年    月    日</w:t>
      </w:r>
    </w:p>
    <w:p w14:paraId="1F84DD20">
      <w:pPr>
        <w:pStyle w:val="9"/>
        <w:keepNext w:val="0"/>
        <w:keepLines w:val="0"/>
        <w:pageBreakBefore w:val="0"/>
        <w:widowControl/>
        <w:numPr>
          <w:ilvl w:val="0"/>
          <w:numId w:val="4"/>
        </w:numPr>
        <w:tabs>
          <w:tab w:val="left" w:pos="8460"/>
          <w:tab w:val="left" w:pos="8640"/>
        </w:tabs>
        <w:kinsoku/>
        <w:wordWrap/>
        <w:overflowPunct/>
        <w:topLinePunct w:val="0"/>
        <w:autoSpaceDE/>
        <w:autoSpaceDN/>
        <w:bidi w:val="0"/>
        <w:adjustRightInd/>
        <w:snapToGrid/>
        <w:spacing w:before="0" w:beforeAutospacing="0" w:after="0" w:afterAutospacing="0" w:line="360" w:lineRule="auto"/>
        <w:ind w:left="962" w:right="25" w:rightChars="12" w:hanging="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履约保证金及质量标准</w:t>
      </w:r>
    </w:p>
    <w:p w14:paraId="39DAD4E2">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left="0" w:right="25" w:rightChars="12" w:firstLine="48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履约保证金：贰万元整。合同期满后一年无息退还。</w:t>
      </w:r>
    </w:p>
    <w:p w14:paraId="4EBC1AA5">
      <w:pPr>
        <w:pStyle w:val="9"/>
        <w:keepNext w:val="0"/>
        <w:keepLines w:val="0"/>
        <w:pageBreakBefore w:val="0"/>
        <w:widowControl/>
        <w:tabs>
          <w:tab w:val="left" w:pos="8460"/>
          <w:tab w:val="left" w:pos="8640"/>
        </w:tabs>
        <w:kinsoku/>
        <w:wordWrap/>
        <w:overflowPunct/>
        <w:topLinePunct w:val="0"/>
        <w:autoSpaceDE/>
        <w:autoSpaceDN/>
        <w:bidi w:val="0"/>
        <w:adjustRightInd/>
        <w:snapToGrid/>
        <w:spacing w:line="360" w:lineRule="auto"/>
        <w:ind w:left="0" w:right="25" w:rightChars="12" w:firstLine="48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工程质量标准：按照甲方的要求或达到《建筑工程施工质量验收统一标准》中的“合格”标准。各项规范标准参照华水水业、农村供水工程管理办法</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5C48DB11">
      <w:pPr>
        <w:pStyle w:val="9"/>
        <w:keepNext w:val="0"/>
        <w:keepLines w:val="0"/>
        <w:pageBreakBefore w:val="0"/>
        <w:widowControl/>
        <w:numPr>
          <w:ilvl w:val="0"/>
          <w:numId w:val="4"/>
        </w:numPr>
        <w:tabs>
          <w:tab w:val="left" w:pos="8460"/>
          <w:tab w:val="left" w:pos="8640"/>
        </w:tabs>
        <w:kinsoku/>
        <w:wordWrap/>
        <w:overflowPunct/>
        <w:topLinePunct w:val="0"/>
        <w:autoSpaceDE/>
        <w:autoSpaceDN/>
        <w:bidi w:val="0"/>
        <w:adjustRightInd/>
        <w:snapToGrid/>
        <w:spacing w:before="0" w:beforeAutospacing="0" w:after="0" w:afterAutospacing="0" w:line="360" w:lineRule="auto"/>
        <w:ind w:left="962" w:right="25" w:rightChars="12" w:hanging="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协议价款、计算方法：</w:t>
      </w:r>
    </w:p>
    <w:p w14:paraId="35D50796">
      <w:pPr>
        <w:pStyle w:val="9"/>
        <w:keepNext w:val="0"/>
        <w:keepLines w:val="0"/>
        <w:pageBreakBefore w:val="0"/>
        <w:widowControl/>
        <w:tabs>
          <w:tab w:val="left" w:pos="8460"/>
          <w:tab w:val="left" w:pos="8640"/>
        </w:tabs>
        <w:kinsoku/>
        <w:wordWrap/>
        <w:overflowPunct/>
        <w:topLinePunct w:val="0"/>
        <w:autoSpaceDE/>
        <w:autoSpaceDN/>
        <w:bidi w:val="0"/>
        <w:adjustRightInd/>
        <w:snapToGrid/>
        <w:spacing w:before="0" w:beforeAutospacing="0" w:after="0" w:afterAutospacing="0" w:line="360" w:lineRule="auto"/>
        <w:ind w:left="482" w:right="25" w:rightChars="12"/>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协议金额：</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按结算直接费下浮（</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53607D30">
      <w:pPr>
        <w:pStyle w:val="1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计算方法：定额执行按华水水业、农村公司企业定额规范为准。其它定额按《浙江省市政预算定额》(201</w:t>
      </w:r>
      <w:r>
        <w:rPr>
          <w:rFonts w:hint="eastAsia" w:ascii="宋体" w:hAnsi="宋体" w:eastAsia="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lang w:eastAsia="zh-CN"/>
          <w14:textFill>
            <w14:solidFill>
              <w14:schemeClr w14:val="tx1"/>
            </w14:solidFill>
          </w14:textFill>
        </w:rPr>
        <w:t>版)、《浙江省通用安装工程预算定额》（2018版）和《浙江省建设工程施工机械台班费用定额》（2018版）。税金按</w:t>
      </w:r>
      <w:r>
        <w:rPr>
          <w:rFonts w:hint="eastAsia" w:ascii="宋体" w:hAnsi="宋体" w:eastAsia="宋体" w:cs="宋体"/>
          <w:b w:val="0"/>
          <w:bCs w:val="0"/>
          <w:color w:val="000000" w:themeColor="text1"/>
          <w:sz w:val="24"/>
          <w:szCs w:val="24"/>
          <w:highlight w:val="none"/>
          <w:u w:val="none"/>
          <w:lang w:val="en-US" w:eastAsia="zh-CN"/>
          <w14:textFill>
            <w14:solidFill>
              <w14:schemeClr w14:val="tx1"/>
            </w14:solidFill>
          </w14:textFill>
        </w:rPr>
        <w:t>国家规范计取</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华水水业提供主材包括管材、管材配件、水表、流量计、井盖、阀门等，</w:t>
      </w:r>
      <w:r>
        <w:rPr>
          <w:rFonts w:hint="eastAsia" w:ascii="宋体" w:hAnsi="宋体" w:eastAsia="宋体" w:cs="宋体"/>
          <w:color w:val="000000" w:themeColor="text1"/>
          <w:sz w:val="24"/>
          <w:szCs w:val="24"/>
          <w:highlight w:val="none"/>
          <w:lang w:eastAsia="zh-CN"/>
          <w14:textFill>
            <w14:solidFill>
              <w14:schemeClr w14:val="tx1"/>
            </w14:solidFill>
          </w14:textFill>
        </w:rPr>
        <w:t>工料机按单位工程施工期间信息价执行，无价材料由甲、乙双方协商签证后方可列入结算。隐蔽资料按实际工程量现场甲、乙双方工作人员签字确认。</w:t>
      </w:r>
    </w:p>
    <w:p w14:paraId="484780A8">
      <w:pPr>
        <w:pStyle w:val="1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六</w:t>
      </w:r>
      <w:r>
        <w:rPr>
          <w:rFonts w:hint="eastAsia"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验收</w:t>
      </w:r>
    </w:p>
    <w:p w14:paraId="711E43BE">
      <w:pPr>
        <w:pStyle w:val="1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根据单个工程项目进行验收。完工后三天内进行验收，由现场施工员及相关科室人员进行验收。</w:t>
      </w:r>
    </w:p>
    <w:p w14:paraId="12F0F571">
      <w:pPr>
        <w:pStyle w:val="1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七</w:t>
      </w:r>
      <w:r>
        <w:rPr>
          <w:rFonts w:hint="eastAsia"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工程款支付方式</w:t>
      </w:r>
    </w:p>
    <w:p w14:paraId="0A7A4B50">
      <w:pPr>
        <w:keepNext w:val="0"/>
        <w:keepLines w:val="0"/>
        <w:pageBreakBefore w:val="0"/>
        <w:widowControl w:val="0"/>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项目经验收合格后，根据甲乙双方隐蔽资料上签字的工程量进行结算，由乙方在每月25号前按已验收合格的工程做好隐蔽资料送审至甲方项目技术管理中心初审，再由甲方项目技术管理中心送第三方审计单位审计，凭审计报告支付全额工程款。</w:t>
      </w:r>
    </w:p>
    <w:p w14:paraId="493A2F4B">
      <w:pPr>
        <w:keepNext w:val="0"/>
        <w:keepLines w:val="0"/>
        <w:pageBreakBefore w:val="0"/>
        <w:widowControl w:val="0"/>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八、双方责任</w:t>
      </w:r>
    </w:p>
    <w:p w14:paraId="7A29323A">
      <w:pPr>
        <w:keepNext w:val="0"/>
        <w:keepLines w:val="0"/>
        <w:pageBreakBefore w:val="0"/>
        <w:widowControl w:val="0"/>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left="420" w:leftChars="200" w:right="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8.1甲方责任:</w:t>
      </w:r>
    </w:p>
    <w:p w14:paraId="2D9E8D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8.1.1 协调相关配套公司与乙方的关系，提供必要的施工资料、环境，并配合乙方解决施工过程中遇到的问题，不影响乙方施工的进行。</w:t>
      </w:r>
    </w:p>
    <w:p w14:paraId="0A383C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8.1.2  甲方按照合同规定，及时向乙方支付工程款项。</w:t>
      </w:r>
    </w:p>
    <w:p w14:paraId="27A2E6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8.1.3 工程结束后，甲方应根据乙方的书面申请及时进行工程验收工作。</w:t>
      </w:r>
    </w:p>
    <w:p w14:paraId="71EC2D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8.1.4 在设备安装调试验收后，由甲方负责成品保护工作，验收前产品产权归乙方。</w:t>
      </w:r>
    </w:p>
    <w:p w14:paraId="54B7B8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8.1.5 甲方应做的其他工作，双方另行约定。</w:t>
      </w:r>
    </w:p>
    <w:p w14:paraId="05DDBA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8.2乙方责任:</w:t>
      </w:r>
    </w:p>
    <w:p w14:paraId="52286D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 xml:space="preserve">8.2.1. 按双方约定的内容和时间保证工程质量，确保工程按双方约定的工期完成。 </w:t>
      </w:r>
    </w:p>
    <w:p w14:paraId="7BAFC3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8.2.2 工程经甲方验收达到要求后，由甲方在验收报告上签字，作为乙方交工的证明文件。</w:t>
      </w:r>
    </w:p>
    <w:p w14:paraId="547618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8.2.3 保证施工场地清洁符合环境卫生管理的有关规定，交工前清理现场达到双方约定的要求，承担因自身原因违反有关规定造成的损失和罚款。</w:t>
      </w:r>
    </w:p>
    <w:p w14:paraId="36B43E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8.2.4乙方必须服从甲方的工作调配，不得以任何借口推脱甲方交给的施工任务。若推脱甲方交给的施工任务，将取消施工承包资格。</w:t>
      </w:r>
    </w:p>
    <w:p w14:paraId="7EA17F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8.2.5乙方未在规定的期间内提交结算资料的，第一次予以警告，二次以上，不予结算或取消承包资格。</w:t>
      </w:r>
    </w:p>
    <w:p w14:paraId="548ED0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 xml:space="preserve">    8.2.6乙方应做的其他，双方另行约定。</w:t>
      </w:r>
    </w:p>
    <w:p w14:paraId="5062C9AE">
      <w:pPr>
        <w:keepNext w:val="0"/>
        <w:keepLines w:val="0"/>
        <w:pageBreakBefore w:val="0"/>
        <w:widowControl w:val="0"/>
        <w:numPr>
          <w:ilvl w:val="0"/>
          <w:numId w:val="5"/>
        </w:numPr>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left="1271" w:right="0" w:hanging="720"/>
        <w:jc w:val="lef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工程质量处罚</w:t>
      </w:r>
    </w:p>
    <w:p w14:paraId="76FCD2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工程质量等级必须达到合格，不合格的必须返工。</w:t>
      </w:r>
    </w:p>
    <w:p w14:paraId="2BAEABE0">
      <w:pPr>
        <w:keepNext w:val="0"/>
        <w:keepLines w:val="0"/>
        <w:pageBreakBefore w:val="0"/>
        <w:widowControl w:val="0"/>
        <w:numPr>
          <w:ilvl w:val="0"/>
          <w:numId w:val="5"/>
        </w:numPr>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left="1271" w:right="0" w:hanging="720"/>
        <w:jc w:val="lef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安全施工</w:t>
      </w:r>
    </w:p>
    <w:p w14:paraId="6C16B0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10.1 乙方应遵守工程建设安全生产有关管理规定，严格按安全标准组织施工，并随时接受行业安全检查人员依法实施的监督检查，采取必要的安全防护措施，消除事故隐患。</w:t>
      </w:r>
    </w:p>
    <w:p w14:paraId="15FFC8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10.2 乙方应对其在施工场地的工作人员进行安全教育，并对他们的安全负责。甲方不得要求乙方违反安全管理的规定进行施工。</w:t>
      </w:r>
    </w:p>
    <w:p w14:paraId="6878EB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 xml:space="preserve">10.3 乙方人员在动力设备、输电线路、地下管道、以及临街交通要道附近施工时，施工开始前应向甲方提出安全防护措施，经甲方认可后实施. </w:t>
      </w:r>
    </w:p>
    <w:p w14:paraId="583B22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 xml:space="preserve">10.4  因违规操作发生重大伤亡及其他安全事故，乙方应按有关规定立即上报有关部门及甲方，同时按政府有关部门要求处理，由乙方承担事故发生的费用。 </w:t>
      </w:r>
    </w:p>
    <w:p w14:paraId="65921133">
      <w:pPr>
        <w:keepNext w:val="0"/>
        <w:keepLines w:val="0"/>
        <w:pageBreakBefore w:val="0"/>
        <w:widowControl w:val="0"/>
        <w:numPr>
          <w:ilvl w:val="0"/>
          <w:numId w:val="5"/>
        </w:numPr>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 xml:space="preserve">甲方乙方在履行合同时发生争议，可以和解或者要求有关主管部门调解。当事人不愿和解、调解或者和解、调解不成的，双方可以向所在管辖权的人民法院起诉。 </w:t>
      </w:r>
    </w:p>
    <w:p w14:paraId="00C2D745">
      <w:pPr>
        <w:keepNext w:val="0"/>
        <w:keepLines w:val="0"/>
        <w:pageBreakBefore w:val="0"/>
        <w:widowControl w:val="0"/>
        <w:numPr>
          <w:ilvl w:val="0"/>
          <w:numId w:val="5"/>
        </w:numPr>
        <w:suppressLineNumbers w:val="0"/>
        <w:tabs>
          <w:tab w:val="left" w:pos="0"/>
          <w:tab w:val="left" w:pos="945"/>
          <w:tab w:val="left" w:pos="1050"/>
        </w:tabs>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本合同一式肆份，甲方执贰份，乙方执贰份。</w:t>
      </w:r>
    </w:p>
    <w:p w14:paraId="288DAA9C">
      <w:pPr>
        <w:keepNext w:val="0"/>
        <w:keepLines w:val="0"/>
        <w:widowControl w:val="0"/>
        <w:suppressLineNumbers w:val="0"/>
        <w:tabs>
          <w:tab w:val="left" w:pos="0"/>
          <w:tab w:val="left" w:pos="945"/>
          <w:tab w:val="left" w:pos="1050"/>
        </w:tabs>
        <w:spacing w:before="0" w:beforeAutospacing="0" w:after="0" w:afterAutospacing="0" w:line="440" w:lineRule="exact"/>
        <w:ind w:left="0" w:right="0"/>
        <w:jc w:val="left"/>
        <w:rPr>
          <w:rFonts w:hint="eastAsia" w:ascii="宋体" w:hAnsi="宋体" w:eastAsia="宋体" w:cs="宋体"/>
          <w:color w:val="000000" w:themeColor="text1"/>
          <w:sz w:val="24"/>
          <w:szCs w:val="24"/>
          <w:highlight w:val="none"/>
          <w:lang w:val="en-US"/>
          <w14:textFill>
            <w14:solidFill>
              <w14:schemeClr w14:val="tx1"/>
            </w14:solidFill>
          </w14:textFill>
        </w:rPr>
      </w:pPr>
    </w:p>
    <w:p w14:paraId="0FD0135C">
      <w:pPr>
        <w:pStyle w:val="12"/>
        <w:widowControl/>
        <w:spacing w:line="540" w:lineRule="exact"/>
        <w:ind w:left="0" w:firstLine="480" w:firstLineChars="200"/>
        <w:rPr>
          <w:rFonts w:hint="eastAsia" w:ascii="宋体" w:hAnsi="宋体" w:eastAsia="宋体" w:cs="宋体"/>
          <w:color w:val="000000" w:themeColor="text1"/>
          <w:sz w:val="24"/>
          <w:szCs w:val="24"/>
          <w:highlight w:val="none"/>
          <w:lang w:val="en-US"/>
          <w14:textFill>
            <w14:solidFill>
              <w14:schemeClr w14:val="tx1"/>
            </w14:solidFill>
          </w14:textFill>
        </w:rPr>
      </w:pPr>
    </w:p>
    <w:p w14:paraId="71C1BDAA">
      <w:pPr>
        <w:pStyle w:val="9"/>
        <w:widowControl/>
        <w:rPr>
          <w:rFonts w:hint="eastAsia" w:ascii="宋体" w:hAnsi="宋体" w:eastAsia="宋体" w:cs="宋体"/>
          <w:color w:val="000000" w:themeColor="text1"/>
          <w:sz w:val="24"/>
          <w:szCs w:val="24"/>
          <w:highlight w:val="none"/>
          <w:lang w:val="en-US"/>
          <w14:textFill>
            <w14:solidFill>
              <w14:schemeClr w14:val="tx1"/>
            </w14:solidFill>
          </w14:textFill>
        </w:rPr>
      </w:pPr>
    </w:p>
    <w:p w14:paraId="06FBF097">
      <w:pPr>
        <w:pStyle w:val="9"/>
        <w:widowControl/>
        <w:ind w:left="0" w:firstLine="600" w:firstLineChars="250"/>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发包人（公章）：</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承包人（公章）：</w:t>
      </w:r>
    </w:p>
    <w:p w14:paraId="13931DA7">
      <w:pPr>
        <w:pStyle w:val="9"/>
        <w:widowControl/>
        <w:rPr>
          <w:rFonts w:hint="eastAsia" w:ascii="宋体" w:hAnsi="宋体" w:eastAsia="宋体" w:cs="宋体"/>
          <w:color w:val="000000" w:themeColor="text1"/>
          <w:sz w:val="24"/>
          <w:szCs w:val="24"/>
          <w:highlight w:val="none"/>
          <w:lang w:val="en-US"/>
          <w14:textFill>
            <w14:solidFill>
              <w14:schemeClr w14:val="tx1"/>
            </w14:solidFill>
          </w14:textFill>
        </w:rPr>
      </w:pPr>
    </w:p>
    <w:p w14:paraId="66917306">
      <w:pPr>
        <w:pStyle w:val="9"/>
        <w:widowControl/>
        <w:ind w:left="0" w:firstLine="600" w:firstLineChars="25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代表人（签字）：</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代表人（签字）：</w:t>
      </w:r>
    </w:p>
    <w:p w14:paraId="170FD7FD">
      <w:pPr>
        <w:keepNext w:val="0"/>
        <w:keepLines w:val="0"/>
        <w:widowControl w:val="0"/>
        <w:suppressLineNumbers w:val="0"/>
        <w:spacing w:before="0" w:beforeAutospacing="0" w:after="0" w:afterAutospacing="0" w:line="360" w:lineRule="auto"/>
        <w:ind w:left="0" w:right="0" w:firstLine="480"/>
        <w:jc w:val="both"/>
        <w:rPr>
          <w:rFonts w:hint="eastAsia" w:ascii="宋体" w:hAnsi="宋体" w:eastAsia="宋体" w:cs="宋体"/>
          <w:color w:val="000000" w:themeColor="text1"/>
          <w:sz w:val="24"/>
          <w:szCs w:val="24"/>
          <w:highlight w:val="none"/>
          <w:lang w:val="en-US"/>
          <w14:textFill>
            <w14:solidFill>
              <w14:schemeClr w14:val="tx1"/>
            </w14:solidFill>
          </w14:textFill>
        </w:rPr>
      </w:pPr>
    </w:p>
    <w:p w14:paraId="33628A11">
      <w:pPr>
        <w:keepNext w:val="0"/>
        <w:keepLines w:val="0"/>
        <w:widowControl w:val="0"/>
        <w:suppressLineNumbers w:val="0"/>
        <w:spacing w:before="0" w:beforeAutospacing="0" w:after="0" w:afterAutospacing="0" w:line="360" w:lineRule="auto"/>
        <w:ind w:left="0" w:right="0" w:firstLine="5330" w:firstLineChars="2221"/>
        <w:jc w:val="both"/>
        <w:rPr>
          <w:rFonts w:hint="eastAsia" w:ascii="宋体" w:hAnsi="宋体" w:eastAsia="宋体" w:cs="宋体"/>
          <w:color w:val="000000" w:themeColor="text1"/>
          <w:sz w:val="24"/>
          <w:szCs w:val="24"/>
          <w:highlight w:val="none"/>
          <w:lang w:val="en-US"/>
          <w14:textFill>
            <w14:solidFill>
              <w14:schemeClr w14:val="tx1"/>
            </w14:solidFill>
          </w14:textFill>
        </w:rPr>
      </w:pPr>
    </w:p>
    <w:p w14:paraId="64BE3844">
      <w:pPr>
        <w:keepNext w:val="0"/>
        <w:keepLines w:val="0"/>
        <w:widowControl w:val="0"/>
        <w:suppressLineNumbers w:val="0"/>
        <w:spacing w:before="0" w:beforeAutospacing="0" w:after="0" w:afterAutospacing="0" w:line="360" w:lineRule="auto"/>
        <w:ind w:left="0" w:right="0" w:firstLine="5330" w:firstLineChars="2221"/>
        <w:jc w:val="both"/>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
          <w14:textFill>
            <w14:solidFill>
              <w14:schemeClr w14:val="tx1"/>
            </w14:solidFill>
          </w14:textFill>
        </w:rPr>
        <w:t>年    月    日</w:t>
      </w:r>
    </w:p>
    <w:p w14:paraId="41DE9531">
      <w:pPr>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br w:type="page"/>
      </w:r>
    </w:p>
    <w:p w14:paraId="01F9A5DD">
      <w:pPr>
        <w:spacing w:beforeLines="100" w:afterLines="100"/>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龙游华水水业、农村供水发展有限公司</w:t>
      </w:r>
      <w:r>
        <w:rPr>
          <w:rFonts w:hint="eastAsia" w:ascii="宋体" w:hAnsi="宋体" w:eastAsia="宋体" w:cs="宋体"/>
          <w:b/>
          <w:bCs/>
          <w:color w:val="000000" w:themeColor="text1"/>
          <w:sz w:val="24"/>
          <w:szCs w:val="24"/>
          <w:highlight w:val="none"/>
          <w14:textFill>
            <w14:solidFill>
              <w14:schemeClr w14:val="tx1"/>
            </w14:solidFill>
          </w14:textFill>
        </w:rPr>
        <w:t>内部定额</w:t>
      </w:r>
    </w:p>
    <w:p w14:paraId="68A5A6B1">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一、为了进一步完善我公司经营管理制度，严格控制计时工，以及计件工资单位混乱的现象，提高企业经济效益，做到按劳付酬，有据可查。方便人工工资结算，结合实际情况编制。</w:t>
      </w:r>
    </w:p>
    <w:p w14:paraId="47B4168B">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二、本定额编制依据：根据公司人工费用结算内部定额实施的情况个别单价较低的分项工程作了适当的调整，缺项部分加以适当的补充，同时采纳了一部分工地的实际情况及意见编制的。</w:t>
      </w:r>
    </w:p>
    <w:p w14:paraId="5CA0F5C0">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定额各个子目工程量的计算全部参照《浙江省2018工程计价定额》的计算规则，以及说明为依据，结算时，各个子目的工程量计算应以《浙江省2018工程计价定额》所列各分部的计算规则和说明一致，不得与本定额子目无关的内容结算人工费，凡与本定额以及《浙江省2018定额》的计算规则和说明不相一致的结算人工费，公司概不予审批。</w:t>
      </w:r>
    </w:p>
    <w:p w14:paraId="6FCEC427">
      <w:pPr>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四、本定额各子目人工费单价，在执行过程中，若有的个别子目价格确实较低或较高，可以协商的办法控制掌握调整</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31D6061A">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五、本定额各子目材料均含300米内人力、机械运输。大型材料二次搬运（指材料堆放点与施工点运输超1公里）按搬运定额执行。废土</w:t>
      </w:r>
      <w:r>
        <w:rPr>
          <w:rFonts w:hint="eastAsia" w:ascii="宋体" w:hAnsi="宋体" w:eastAsia="宋体" w:cs="宋体"/>
          <w:color w:val="000000" w:themeColor="text1"/>
          <w:sz w:val="24"/>
          <w:szCs w:val="24"/>
          <w:highlight w:val="none"/>
          <w:lang w:eastAsia="zh-CN"/>
          <w14:textFill>
            <w14:solidFill>
              <w14:schemeClr w14:val="tx1"/>
            </w14:solidFill>
          </w14:textFill>
        </w:rPr>
        <w:t>石、废料</w:t>
      </w:r>
      <w:r>
        <w:rPr>
          <w:rFonts w:hint="eastAsia" w:ascii="宋体" w:hAnsi="宋体" w:eastAsia="宋体" w:cs="宋体"/>
          <w:color w:val="000000" w:themeColor="text1"/>
          <w:sz w:val="24"/>
          <w:szCs w:val="24"/>
          <w:highlight w:val="none"/>
          <w14:textFill>
            <w14:solidFill>
              <w14:schemeClr w14:val="tx1"/>
            </w14:solidFill>
          </w14:textFill>
        </w:rPr>
        <w:t>运输距按</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公里定额执行。</w:t>
      </w:r>
    </w:p>
    <w:p w14:paraId="0C94E521">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六、本定额各子目单价已含工具费、人工安装费，结算时，不得再计取工具费用和人工费。</w:t>
      </w:r>
      <w:r>
        <w:rPr>
          <w:rFonts w:hint="eastAsia" w:ascii="宋体" w:hAnsi="宋体" w:eastAsia="宋体" w:cs="宋体"/>
          <w:color w:val="000000" w:themeColor="text1"/>
          <w:sz w:val="24"/>
          <w:szCs w:val="24"/>
          <w:highlight w:val="none"/>
          <w:lang w:eastAsia="zh-CN"/>
          <w14:textFill>
            <w14:solidFill>
              <w14:schemeClr w14:val="tx1"/>
            </w14:solidFill>
          </w14:textFill>
        </w:rPr>
        <w:t>其中</w:t>
      </w:r>
      <w:r>
        <w:rPr>
          <w:rFonts w:hint="eastAsia" w:ascii="宋体" w:hAnsi="宋体" w:eastAsia="宋体" w:cs="宋体"/>
          <w:color w:val="000000" w:themeColor="text1"/>
          <w:sz w:val="24"/>
          <w:szCs w:val="24"/>
          <w:highlight w:val="none"/>
          <w14:textFill>
            <w14:solidFill>
              <w14:schemeClr w14:val="tx1"/>
            </w14:solidFill>
          </w14:textFill>
        </w:rPr>
        <w:t>安全文明施工费</w:t>
      </w:r>
      <w:r>
        <w:rPr>
          <w:rFonts w:hint="eastAsia" w:ascii="宋体" w:hAnsi="宋体" w:eastAsia="宋体" w:cs="宋体"/>
          <w:color w:val="000000" w:themeColor="text1"/>
          <w:sz w:val="24"/>
          <w:szCs w:val="24"/>
          <w:highlight w:val="none"/>
          <w:lang w:eastAsia="zh-CN"/>
          <w14:textFill>
            <w14:solidFill>
              <w14:schemeClr w14:val="tx1"/>
            </w14:solidFill>
          </w14:textFill>
        </w:rPr>
        <w:t>、二次搬运费、行车、行人干扰增加费</w:t>
      </w:r>
      <w:r>
        <w:rPr>
          <w:rFonts w:hint="eastAsia" w:ascii="宋体" w:hAnsi="宋体" w:eastAsia="宋体" w:cs="宋体"/>
          <w:color w:val="000000" w:themeColor="text1"/>
          <w:sz w:val="24"/>
          <w:szCs w:val="24"/>
          <w:highlight w:val="none"/>
          <w14:textFill>
            <w14:solidFill>
              <w14:schemeClr w14:val="tx1"/>
            </w14:solidFill>
          </w14:textFill>
        </w:rPr>
        <w:t>按定额执行，税费按</w:t>
      </w:r>
      <w:r>
        <w:rPr>
          <w:rFonts w:hint="eastAsia" w:ascii="宋体" w:hAnsi="宋体" w:eastAsia="宋体" w:cs="宋体"/>
          <w:color w:val="000000" w:themeColor="text1"/>
          <w:sz w:val="24"/>
          <w:szCs w:val="24"/>
          <w:highlight w:val="none"/>
          <w:lang w:eastAsia="zh-CN"/>
          <w14:textFill>
            <w14:solidFill>
              <w14:schemeClr w14:val="tx1"/>
            </w14:solidFill>
          </w14:textFill>
        </w:rPr>
        <w:t>规定</w:t>
      </w:r>
      <w:r>
        <w:rPr>
          <w:rFonts w:hint="eastAsia" w:ascii="宋体" w:hAnsi="宋体" w:eastAsia="宋体" w:cs="宋体"/>
          <w:color w:val="000000" w:themeColor="text1"/>
          <w:sz w:val="24"/>
          <w:szCs w:val="24"/>
          <w:highlight w:val="none"/>
          <w14:textFill>
            <w14:solidFill>
              <w14:schemeClr w14:val="tx1"/>
            </w14:solidFill>
          </w14:textFill>
        </w:rPr>
        <w:t>计算</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其他规费、措施费、管理费不计取。</w:t>
      </w:r>
    </w:p>
    <w:p w14:paraId="413B2850">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七、考虑到城市与农村的距离，一户一表(5公里-8公里)安装单价</w:t>
      </w:r>
      <w:r>
        <w:rPr>
          <w:rFonts w:hint="eastAsia" w:ascii="宋体" w:hAnsi="宋体" w:eastAsia="宋体" w:cs="宋体"/>
          <w:color w:val="000000" w:themeColor="text1"/>
          <w:sz w:val="24"/>
          <w:szCs w:val="24"/>
          <w:highlight w:val="none"/>
          <w:lang w:eastAsia="zh-CN"/>
          <w14:textFill>
            <w14:solidFill>
              <w14:schemeClr w14:val="tx1"/>
            </w14:solidFill>
          </w14:textFill>
        </w:rPr>
        <w:t>上加</w:t>
      </w:r>
      <w:r>
        <w:rPr>
          <w:rFonts w:hint="eastAsia" w:ascii="宋体" w:hAnsi="宋体" w:eastAsia="宋体" w:cs="宋体"/>
          <w:color w:val="000000" w:themeColor="text1"/>
          <w:sz w:val="24"/>
          <w:szCs w:val="24"/>
          <w:highlight w:val="none"/>
          <w:lang w:val="en-US" w:eastAsia="zh-CN"/>
          <w14:textFill>
            <w14:solidFill>
              <w14:schemeClr w14:val="tx1"/>
            </w14:solidFill>
          </w14:textFill>
        </w:rPr>
        <w:t>20元/户</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8公里</w:t>
      </w:r>
      <w:r>
        <w:rPr>
          <w:rFonts w:hint="eastAsia" w:ascii="宋体" w:hAnsi="宋体" w:eastAsia="宋体" w:cs="宋体"/>
          <w:color w:val="000000" w:themeColor="text1"/>
          <w:sz w:val="24"/>
          <w:szCs w:val="24"/>
          <w:highlight w:val="none"/>
          <w:lang w:val="en-US" w:eastAsia="zh-CN"/>
          <w14:textFill>
            <w14:solidFill>
              <w14:schemeClr w14:val="tx1"/>
            </w14:solidFill>
          </w14:textFill>
        </w:rPr>
        <w:t>-10公里</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安装单价</w:t>
      </w:r>
      <w:r>
        <w:rPr>
          <w:rFonts w:hint="eastAsia" w:ascii="宋体" w:hAnsi="宋体" w:eastAsia="宋体" w:cs="宋体"/>
          <w:color w:val="000000" w:themeColor="text1"/>
          <w:sz w:val="24"/>
          <w:szCs w:val="24"/>
          <w:highlight w:val="none"/>
          <w:lang w:eastAsia="zh-CN"/>
          <w14:textFill>
            <w14:solidFill>
              <w14:schemeClr w14:val="tx1"/>
            </w14:solidFill>
          </w14:textFill>
        </w:rPr>
        <w:t>上加</w:t>
      </w:r>
      <w:r>
        <w:rPr>
          <w:rFonts w:hint="eastAsia" w:ascii="宋体" w:hAnsi="宋体" w:eastAsia="宋体" w:cs="宋体"/>
          <w:color w:val="000000" w:themeColor="text1"/>
          <w:sz w:val="24"/>
          <w:szCs w:val="24"/>
          <w:highlight w:val="none"/>
          <w:lang w:val="en-US" w:eastAsia="zh-CN"/>
          <w14:textFill>
            <w14:solidFill>
              <w14:schemeClr w14:val="tx1"/>
            </w14:solidFill>
          </w14:textFill>
        </w:rPr>
        <w:t>30元/户，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10公里以上</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安装单价</w:t>
      </w:r>
      <w:r>
        <w:rPr>
          <w:rFonts w:hint="eastAsia" w:ascii="宋体" w:hAnsi="宋体" w:eastAsia="宋体" w:cs="宋体"/>
          <w:color w:val="000000" w:themeColor="text1"/>
          <w:sz w:val="24"/>
          <w:szCs w:val="24"/>
          <w:highlight w:val="none"/>
          <w:lang w:eastAsia="zh-CN"/>
          <w14:textFill>
            <w14:solidFill>
              <w14:schemeClr w14:val="tx1"/>
            </w14:solidFill>
          </w14:textFill>
        </w:rPr>
        <w:t>上加</w:t>
      </w:r>
      <w:r>
        <w:rPr>
          <w:rFonts w:hint="eastAsia" w:ascii="宋体" w:hAnsi="宋体" w:eastAsia="宋体" w:cs="宋体"/>
          <w:color w:val="000000" w:themeColor="text1"/>
          <w:sz w:val="24"/>
          <w:szCs w:val="24"/>
          <w:highlight w:val="none"/>
          <w:lang w:val="en-US" w:eastAsia="zh-CN"/>
          <w14:textFill>
            <w14:solidFill>
              <w14:schemeClr w14:val="tx1"/>
            </w14:solidFill>
          </w14:textFill>
        </w:rPr>
        <w:t>50元/户</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进户钻孔墙洞</w:t>
      </w:r>
      <w:r>
        <w:rPr>
          <w:rFonts w:hint="eastAsia" w:ascii="宋体" w:hAnsi="宋体" w:eastAsia="宋体" w:cs="宋体"/>
          <w:color w:val="000000" w:themeColor="text1"/>
          <w:sz w:val="24"/>
          <w:szCs w:val="24"/>
          <w:highlight w:val="none"/>
          <w:lang w:val="en-US" w:eastAsia="zh-CN"/>
          <w14:textFill>
            <w14:solidFill>
              <w14:schemeClr w14:val="tx1"/>
            </w14:solidFill>
          </w14:textFill>
        </w:rPr>
        <w:t>30元/个。</w:t>
      </w:r>
    </w:p>
    <w:p w14:paraId="72390802">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零星抢维修工程中，</w:t>
      </w:r>
      <w:r>
        <w:rPr>
          <w:rFonts w:hint="eastAsia" w:ascii="宋体" w:hAnsi="宋体" w:eastAsia="宋体" w:cs="宋体"/>
          <w:color w:val="000000" w:themeColor="text1"/>
          <w:sz w:val="24"/>
          <w:szCs w:val="24"/>
          <w:highlight w:val="none"/>
          <w14:textFill>
            <w14:solidFill>
              <w14:schemeClr w14:val="tx1"/>
            </w14:solidFill>
          </w14:textFill>
        </w:rPr>
        <w:t>(5公里-8公里)安装单价</w:t>
      </w:r>
      <w:r>
        <w:rPr>
          <w:rFonts w:hint="eastAsia" w:ascii="宋体" w:hAnsi="宋体" w:eastAsia="宋体" w:cs="宋体"/>
          <w:color w:val="000000" w:themeColor="text1"/>
          <w:sz w:val="24"/>
          <w:szCs w:val="24"/>
          <w:highlight w:val="none"/>
          <w:lang w:eastAsia="zh-CN"/>
          <w14:textFill>
            <w14:solidFill>
              <w14:schemeClr w14:val="tx1"/>
            </w14:solidFill>
          </w14:textFill>
        </w:rPr>
        <w:t>上加</w:t>
      </w:r>
      <w:r>
        <w:rPr>
          <w:rFonts w:hint="eastAsia" w:ascii="宋体" w:hAnsi="宋体" w:eastAsia="宋体" w:cs="宋体"/>
          <w:color w:val="000000" w:themeColor="text1"/>
          <w:sz w:val="24"/>
          <w:szCs w:val="24"/>
          <w:highlight w:val="none"/>
          <w:lang w:val="en-US" w:eastAsia="zh-CN"/>
          <w14:textFill>
            <w14:solidFill>
              <w14:schemeClr w14:val="tx1"/>
            </w14:solidFill>
          </w14:textFill>
        </w:rPr>
        <w:t>50元/处</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8公里</w:t>
      </w:r>
      <w:r>
        <w:rPr>
          <w:rFonts w:hint="eastAsia" w:ascii="宋体" w:hAnsi="宋体" w:eastAsia="宋体" w:cs="宋体"/>
          <w:color w:val="000000" w:themeColor="text1"/>
          <w:sz w:val="24"/>
          <w:szCs w:val="24"/>
          <w:highlight w:val="none"/>
          <w:lang w:val="en-US" w:eastAsia="zh-CN"/>
          <w14:textFill>
            <w14:solidFill>
              <w14:schemeClr w14:val="tx1"/>
            </w14:solidFill>
          </w14:textFill>
        </w:rPr>
        <w:t>-10公里</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安装单价</w:t>
      </w:r>
      <w:r>
        <w:rPr>
          <w:rFonts w:hint="eastAsia" w:ascii="宋体" w:hAnsi="宋体" w:eastAsia="宋体" w:cs="宋体"/>
          <w:color w:val="000000" w:themeColor="text1"/>
          <w:sz w:val="24"/>
          <w:szCs w:val="24"/>
          <w:highlight w:val="none"/>
          <w:lang w:eastAsia="zh-CN"/>
          <w14:textFill>
            <w14:solidFill>
              <w14:schemeClr w14:val="tx1"/>
            </w14:solidFill>
          </w14:textFill>
        </w:rPr>
        <w:t>上加</w:t>
      </w:r>
      <w:r>
        <w:rPr>
          <w:rFonts w:hint="eastAsia" w:ascii="宋体" w:hAnsi="宋体" w:eastAsia="宋体" w:cs="宋体"/>
          <w:color w:val="000000" w:themeColor="text1"/>
          <w:sz w:val="24"/>
          <w:szCs w:val="24"/>
          <w:highlight w:val="none"/>
          <w:lang w:val="en-US" w:eastAsia="zh-CN"/>
          <w14:textFill>
            <w14:solidFill>
              <w14:schemeClr w14:val="tx1"/>
            </w14:solidFill>
          </w14:textFill>
        </w:rPr>
        <w:t>80元/处，（10公里-15公里）</w:t>
      </w:r>
      <w:r>
        <w:rPr>
          <w:rFonts w:hint="eastAsia" w:ascii="宋体" w:hAnsi="宋体" w:eastAsia="宋体" w:cs="宋体"/>
          <w:color w:val="000000" w:themeColor="text1"/>
          <w:sz w:val="24"/>
          <w:szCs w:val="24"/>
          <w:highlight w:val="none"/>
          <w14:textFill>
            <w14:solidFill>
              <w14:schemeClr w14:val="tx1"/>
            </w14:solidFill>
          </w14:textFill>
        </w:rPr>
        <w:t>安装单价</w:t>
      </w:r>
      <w:r>
        <w:rPr>
          <w:rFonts w:hint="eastAsia" w:ascii="宋体" w:hAnsi="宋体" w:eastAsia="宋体" w:cs="宋体"/>
          <w:color w:val="000000" w:themeColor="text1"/>
          <w:sz w:val="24"/>
          <w:szCs w:val="24"/>
          <w:highlight w:val="none"/>
          <w:lang w:eastAsia="zh-CN"/>
          <w14:textFill>
            <w14:solidFill>
              <w14:schemeClr w14:val="tx1"/>
            </w14:solidFill>
          </w14:textFill>
        </w:rPr>
        <w:t>上加</w:t>
      </w:r>
      <w:r>
        <w:rPr>
          <w:rFonts w:hint="eastAsia" w:ascii="宋体" w:hAnsi="宋体" w:eastAsia="宋体" w:cs="宋体"/>
          <w:color w:val="000000" w:themeColor="text1"/>
          <w:sz w:val="24"/>
          <w:szCs w:val="24"/>
          <w:highlight w:val="none"/>
          <w:lang w:val="en-US" w:eastAsia="zh-CN"/>
          <w14:textFill>
            <w14:solidFill>
              <w14:schemeClr w14:val="tx1"/>
            </w14:solidFill>
          </w14:textFill>
        </w:rPr>
        <w:t>120元/处，15公里以上160元/处。</w:t>
      </w:r>
    </w:p>
    <w:p w14:paraId="67DC977D">
      <w:pPr>
        <w:numPr>
          <w:ilvl w:val="0"/>
          <w:numId w:val="6"/>
        </w:numPr>
        <w:ind w:left="-60" w:leftChars="0" w:firstLine="480" w:firstLineChars="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计时工标准：普工1</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0元/工日，技工2</w:t>
      </w:r>
      <w:r>
        <w:rPr>
          <w:rFonts w:hint="eastAsia" w:ascii="宋体" w:hAnsi="宋体" w:eastAsia="宋体" w:cs="宋体"/>
          <w:color w:val="000000" w:themeColor="text1"/>
          <w:sz w:val="24"/>
          <w:szCs w:val="24"/>
          <w:highlight w:val="none"/>
          <w:lang w:val="en-US" w:eastAsia="zh-CN"/>
          <w14:textFill>
            <w14:solidFill>
              <w14:schemeClr w14:val="tx1"/>
            </w14:solidFill>
          </w14:textFill>
        </w:rPr>
        <w:t>0</w:t>
      </w:r>
      <w:r>
        <w:rPr>
          <w:rFonts w:hint="eastAsia" w:ascii="宋体" w:hAnsi="宋体" w:eastAsia="宋体" w:cs="宋体"/>
          <w:color w:val="000000" w:themeColor="text1"/>
          <w:sz w:val="24"/>
          <w:szCs w:val="24"/>
          <w:highlight w:val="none"/>
          <w14:textFill>
            <w14:solidFill>
              <w14:schemeClr w14:val="tx1"/>
            </w14:solidFill>
          </w14:textFill>
        </w:rPr>
        <w:t>0元/工日，电焊工350元/工日，污水台班120元/工日。</w:t>
      </w:r>
    </w:p>
    <w:p w14:paraId="07329D14">
      <w:pPr>
        <w:numPr>
          <w:ilvl w:val="0"/>
          <w:numId w:val="0"/>
        </w:numP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夜间施工：</w:t>
      </w:r>
      <w:r>
        <w:rPr>
          <w:rFonts w:hint="eastAsia" w:ascii="宋体" w:hAnsi="宋体" w:eastAsia="宋体" w:cs="宋体"/>
          <w:color w:val="000000" w:themeColor="text1"/>
          <w:sz w:val="24"/>
          <w:szCs w:val="24"/>
          <w:highlight w:val="none"/>
          <w14:textFill>
            <w14:solidFill>
              <w14:schemeClr w14:val="tx1"/>
            </w14:solidFill>
          </w14:textFill>
        </w:rPr>
        <w:t>普工1</w:t>
      </w:r>
      <w:r>
        <w:rPr>
          <w:rFonts w:hint="eastAsia" w:ascii="宋体" w:hAnsi="宋体" w:eastAsia="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0元/工日，技工2</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0元/工日，电焊工</w:t>
      </w:r>
      <w:r>
        <w:rPr>
          <w:rFonts w:hint="eastAsia" w:ascii="宋体" w:hAnsi="宋体" w:eastAsia="宋体" w:cs="宋体"/>
          <w:color w:val="000000" w:themeColor="text1"/>
          <w:sz w:val="24"/>
          <w:szCs w:val="24"/>
          <w:highlight w:val="none"/>
          <w:lang w:val="en-US" w:eastAsia="zh-CN"/>
          <w14:textFill>
            <w14:solidFill>
              <w14:schemeClr w14:val="tx1"/>
            </w14:solidFill>
          </w14:textFill>
        </w:rPr>
        <w:t>400</w:t>
      </w:r>
      <w:r>
        <w:rPr>
          <w:rFonts w:hint="eastAsia" w:ascii="宋体" w:hAnsi="宋体" w:eastAsia="宋体" w:cs="宋体"/>
          <w:color w:val="000000" w:themeColor="text1"/>
          <w:sz w:val="24"/>
          <w:szCs w:val="24"/>
          <w:highlight w:val="none"/>
          <w14:textFill>
            <w14:solidFill>
              <w14:schemeClr w14:val="tx1"/>
            </w14:solidFill>
          </w14:textFill>
        </w:rPr>
        <w:t>元/工日</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4B9ACBC7">
      <w:pPr>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九、一户一表安装、零星项目改造、维修</w:t>
      </w:r>
      <w:r>
        <w:rPr>
          <w:rFonts w:hint="eastAsia" w:ascii="宋体" w:hAnsi="宋体" w:eastAsia="宋体" w:cs="宋体"/>
          <w:color w:val="000000" w:themeColor="text1"/>
          <w:sz w:val="24"/>
          <w:szCs w:val="24"/>
          <w:highlight w:val="none"/>
          <w:lang w:eastAsia="zh-CN"/>
          <w14:textFill>
            <w14:solidFill>
              <w14:schemeClr w14:val="tx1"/>
            </w14:solidFill>
          </w14:textFill>
        </w:rPr>
        <w:t>不</w:t>
      </w:r>
      <w:r>
        <w:rPr>
          <w:rFonts w:hint="eastAsia" w:ascii="宋体" w:hAnsi="宋体" w:eastAsia="宋体" w:cs="宋体"/>
          <w:color w:val="000000" w:themeColor="text1"/>
          <w:sz w:val="24"/>
          <w:szCs w:val="24"/>
          <w:highlight w:val="none"/>
          <w14:textFill>
            <w14:solidFill>
              <w14:schemeClr w14:val="tx1"/>
            </w14:solidFill>
          </w14:textFill>
        </w:rPr>
        <w:t>计取碰头</w:t>
      </w:r>
      <w:r>
        <w:rPr>
          <w:rFonts w:hint="eastAsia" w:ascii="宋体" w:hAnsi="宋体" w:eastAsia="宋体" w:cs="宋体"/>
          <w:color w:val="000000" w:themeColor="text1"/>
          <w:sz w:val="24"/>
          <w:szCs w:val="24"/>
          <w:highlight w:val="none"/>
          <w:lang w:eastAsia="zh-CN"/>
          <w14:textFill>
            <w14:solidFill>
              <w14:schemeClr w14:val="tx1"/>
            </w14:solidFill>
          </w14:textFill>
        </w:rPr>
        <w:t>费用。</w:t>
      </w:r>
    </w:p>
    <w:p w14:paraId="170DE61F">
      <w:pPr>
        <w:ind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w:t>
      </w:r>
      <w:r>
        <w:rPr>
          <w:rFonts w:hint="eastAsia" w:ascii="宋体" w:hAnsi="宋体" w:eastAsia="宋体" w:cs="宋体"/>
          <w:color w:val="000000" w:themeColor="text1"/>
          <w:sz w:val="24"/>
          <w:szCs w:val="24"/>
          <w:highlight w:val="none"/>
          <w:lang w:eastAsia="zh-CN"/>
          <w14:textFill>
            <w14:solidFill>
              <w14:schemeClr w14:val="tx1"/>
            </w14:solidFill>
          </w14:textFill>
        </w:rPr>
        <w:t>抢维修中</w:t>
      </w:r>
      <w:r>
        <w:rPr>
          <w:rFonts w:hint="eastAsia" w:ascii="宋体" w:hAnsi="宋体" w:eastAsia="宋体" w:cs="宋体"/>
          <w:color w:val="000000" w:themeColor="text1"/>
          <w:sz w:val="24"/>
          <w:szCs w:val="24"/>
          <w:highlight w:val="none"/>
          <w14:textFill>
            <w14:solidFill>
              <w14:schemeClr w14:val="tx1"/>
            </w14:solidFill>
          </w14:textFill>
        </w:rPr>
        <w:t>机械进场费</w:t>
      </w:r>
      <w:r>
        <w:rPr>
          <w:rFonts w:hint="eastAsia" w:ascii="宋体" w:hAnsi="宋体" w:eastAsia="宋体" w:cs="宋体"/>
          <w:color w:val="000000" w:themeColor="text1"/>
          <w:sz w:val="24"/>
          <w:szCs w:val="24"/>
          <w:highlight w:val="none"/>
          <w:lang w:eastAsia="zh-CN"/>
          <w14:textFill>
            <w14:solidFill>
              <w14:schemeClr w14:val="tx1"/>
            </w14:solidFill>
          </w14:textFill>
        </w:rPr>
        <w:t>和操作时间费用</w:t>
      </w:r>
    </w:p>
    <w:p w14:paraId="27CDABA2">
      <w:pPr>
        <w:ind w:firstLine="960" w:firstLineChars="4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60、70挖机：进退场费300元/趟，操作费用150元/时；</w:t>
      </w:r>
    </w:p>
    <w:p w14:paraId="6E2B5FC3">
      <w:pPr>
        <w:ind w:firstLine="960" w:firstLineChars="4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90挖机：进退场费300元/趟，操作费用180元/时；</w:t>
      </w:r>
    </w:p>
    <w:p w14:paraId="06D3B70C">
      <w:pPr>
        <w:ind w:firstLine="960" w:firstLineChars="4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120挖机：进退场费300元/趟，操作费用200元/时；</w:t>
      </w:r>
    </w:p>
    <w:p w14:paraId="5A8CF06A">
      <w:pPr>
        <w:ind w:firstLine="960" w:firstLineChars="4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大型风镐：1000元/台班。</w:t>
      </w:r>
    </w:p>
    <w:p w14:paraId="01662BD8">
      <w:pP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十、涉及签证部分的费用不参与下浮。</w:t>
      </w:r>
    </w:p>
    <w:p w14:paraId="2131C78A">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本定额从202</w:t>
      </w:r>
      <w:r>
        <w:rPr>
          <w:rFonts w:hint="eastAsia" w:ascii="宋体" w:hAnsi="宋体" w:eastAsia="宋体" w:cs="宋体"/>
          <w:color w:val="000000" w:themeColor="text1"/>
          <w:sz w:val="24"/>
          <w:szCs w:val="24"/>
          <w:highlight w:val="none"/>
          <w:lang w:val="en-US" w:eastAsia="zh-CN"/>
          <w14:textFill>
            <w14:solidFill>
              <w14:schemeClr w14:val="tx1"/>
            </w14:solidFill>
          </w14:textFill>
        </w:rPr>
        <w:t>3年3</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日起执行。本定额由公司项目</w:t>
      </w:r>
      <w:r>
        <w:rPr>
          <w:rFonts w:hint="eastAsia" w:ascii="宋体" w:hAnsi="宋体" w:eastAsia="宋体" w:cs="宋体"/>
          <w:color w:val="000000" w:themeColor="text1"/>
          <w:sz w:val="24"/>
          <w:szCs w:val="24"/>
          <w:highlight w:val="none"/>
          <w:lang w:eastAsia="zh-CN"/>
          <w14:textFill>
            <w14:solidFill>
              <w14:schemeClr w14:val="tx1"/>
            </w14:solidFill>
          </w14:textFill>
        </w:rPr>
        <w:t>工程管网科</w:t>
      </w:r>
      <w:r>
        <w:rPr>
          <w:rFonts w:hint="eastAsia" w:ascii="宋体" w:hAnsi="宋体" w:eastAsia="宋体" w:cs="宋体"/>
          <w:color w:val="000000" w:themeColor="text1"/>
          <w:sz w:val="24"/>
          <w:szCs w:val="24"/>
          <w:highlight w:val="none"/>
          <w14:textFill>
            <w14:solidFill>
              <w14:schemeClr w14:val="tx1"/>
            </w14:solidFill>
          </w14:textFill>
        </w:rPr>
        <w:t>负责解释。</w:t>
      </w:r>
    </w:p>
    <w:p w14:paraId="0801EB67">
      <w:pPr>
        <w:rPr>
          <w:rFonts w:hint="eastAsia" w:ascii="宋体" w:hAnsi="宋体" w:eastAsia="宋体" w:cs="宋体"/>
          <w:color w:val="000000" w:themeColor="text1"/>
          <w:sz w:val="24"/>
          <w:szCs w:val="24"/>
          <w:highlight w:val="none"/>
          <w14:textFill>
            <w14:solidFill>
              <w14:schemeClr w14:val="tx1"/>
            </w14:solidFill>
          </w14:textFill>
        </w:rPr>
      </w:pPr>
    </w:p>
    <w:p w14:paraId="2A3B0BD6">
      <w:pPr>
        <w:ind w:firstLine="480" w:firstLineChars="200"/>
        <w:rPr>
          <w:rFonts w:hint="eastAsia" w:ascii="宋体" w:hAnsi="宋体" w:eastAsia="宋体" w:cs="宋体"/>
          <w:b/>
          <w:bCs/>
          <w:color w:val="000000" w:themeColor="text1"/>
          <w:kern w:val="0"/>
          <w:sz w:val="24"/>
          <w:szCs w:val="24"/>
          <w:highlight w:val="none"/>
          <w:lang w:eastAsia="zh-CN"/>
          <w14:textFill>
            <w14:solidFill>
              <w14:schemeClr w14:val="tx1"/>
            </w14:solidFill>
          </w14:textFill>
        </w:rPr>
        <w:sectPr>
          <w:footerReference r:id="rId7" w:type="default"/>
          <w:pgSz w:w="11906" w:h="16838"/>
          <w:pgMar w:top="1440" w:right="1800" w:bottom="1440" w:left="1800" w:header="851" w:footer="992" w:gutter="0"/>
          <w:pgNumType w:fmt="decimal" w:start="1"/>
          <w:cols w:space="720"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龙游华水水业、农村供水发展有限公司    </w:t>
      </w:r>
    </w:p>
    <w:p w14:paraId="58AEDB11">
      <w:pPr>
        <w:pStyle w:val="3"/>
        <w:bidi w:val="0"/>
        <w:jc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龙游华水水业、农村供水发展有限公司</w:t>
      </w:r>
    </w:p>
    <w:p w14:paraId="63619A16">
      <w:pPr>
        <w:pStyle w:val="3"/>
        <w:bidi w:val="0"/>
        <w:jc w:val="center"/>
        <w:rPr>
          <w:rFonts w:hint="eastAsia" w:ascii="宋体" w:hAnsi="宋体" w:eastAsia="宋体" w:cs="宋体"/>
          <w:color w:val="000000" w:themeColor="text1"/>
          <w:sz w:val="24"/>
          <w:szCs w:val="24"/>
          <w:highlight w:val="none"/>
          <w:lang w:eastAsia="zh-CN"/>
          <w14:textFill>
            <w14:solidFill>
              <w14:schemeClr w14:val="tx1"/>
            </w14:solidFill>
          </w14:textFill>
        </w:rPr>
      </w:pPr>
      <w:bookmarkStart w:id="309" w:name="_Toc7144"/>
      <w:bookmarkStart w:id="310" w:name="_Toc24743"/>
      <w:bookmarkStart w:id="311" w:name="_Toc3108"/>
      <w:r>
        <w:rPr>
          <w:rFonts w:hint="eastAsia" w:ascii="宋体" w:hAnsi="宋体" w:eastAsia="宋体" w:cs="宋体"/>
          <w:color w:val="000000" w:themeColor="text1"/>
          <w:sz w:val="24"/>
          <w:szCs w:val="24"/>
          <w:highlight w:val="none"/>
          <w14:textFill>
            <w14:solidFill>
              <w14:schemeClr w14:val="tx1"/>
            </w14:solidFill>
          </w14:textFill>
        </w:rPr>
        <w:t>劳务承包施工班组综合评价管理办法</w:t>
      </w:r>
      <w:bookmarkEnd w:id="309"/>
      <w:bookmarkEnd w:id="310"/>
      <w:bookmarkEnd w:id="311"/>
    </w:p>
    <w:p w14:paraId="0EE6B2A3">
      <w:pPr>
        <w:pStyle w:val="2"/>
        <w:numPr>
          <w:ilvl w:val="0"/>
          <w:numId w:val="7"/>
        </w:numPr>
        <w:jc w:val="center"/>
        <w:rPr>
          <w:rFonts w:hint="eastAsia" w:ascii="宋体" w:hAnsi="宋体" w:eastAsia="宋体" w:cs="宋体"/>
          <w:color w:val="000000" w:themeColor="text1"/>
          <w:sz w:val="24"/>
          <w:szCs w:val="24"/>
          <w:highlight w:val="none"/>
          <w14:textFill>
            <w14:solidFill>
              <w14:schemeClr w14:val="tx1"/>
            </w14:solidFill>
          </w14:textFill>
        </w:rPr>
      </w:pPr>
      <w:bookmarkStart w:id="312" w:name="_Toc24438"/>
      <w:bookmarkStart w:id="313" w:name="_Toc8217"/>
      <w:bookmarkStart w:id="314" w:name="_Toc10233"/>
      <w:r>
        <w:rPr>
          <w:rFonts w:hint="eastAsia" w:ascii="宋体" w:hAnsi="宋体" w:eastAsia="宋体" w:cs="宋体"/>
          <w:color w:val="000000" w:themeColor="text1"/>
          <w:sz w:val="24"/>
          <w:szCs w:val="24"/>
          <w:highlight w:val="none"/>
          <w14:textFill>
            <w14:solidFill>
              <w14:schemeClr w14:val="tx1"/>
            </w14:solidFill>
          </w14:textFill>
        </w:rPr>
        <w:t>总则</w:t>
      </w:r>
      <w:bookmarkEnd w:id="312"/>
      <w:bookmarkEnd w:id="313"/>
      <w:bookmarkEnd w:id="314"/>
    </w:p>
    <w:p w14:paraId="7CD406D9">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为了规范公司</w:t>
      </w:r>
      <w:r>
        <w:rPr>
          <w:rFonts w:hint="eastAsia" w:ascii="宋体" w:hAnsi="宋体" w:eastAsia="宋体" w:cs="宋体"/>
          <w:color w:val="000000" w:themeColor="text1"/>
          <w:sz w:val="24"/>
          <w:szCs w:val="24"/>
          <w:highlight w:val="none"/>
          <w:lang w:val="en-US" w:eastAsia="zh-CN"/>
          <w14:textFill>
            <w14:solidFill>
              <w14:schemeClr w14:val="tx1"/>
            </w14:solidFill>
          </w14:textFill>
        </w:rPr>
        <w:t>劳务承包</w:t>
      </w:r>
      <w:r>
        <w:rPr>
          <w:rFonts w:hint="eastAsia" w:ascii="宋体" w:hAnsi="宋体" w:eastAsia="宋体" w:cs="宋体"/>
          <w:color w:val="000000" w:themeColor="text1"/>
          <w:sz w:val="24"/>
          <w:szCs w:val="24"/>
          <w:highlight w:val="none"/>
          <w14:textFill>
            <w14:solidFill>
              <w14:schemeClr w14:val="tx1"/>
            </w14:solidFill>
          </w14:textFill>
        </w:rPr>
        <w:t>施工班组</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以下简称劳务班组</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建设管理</w:t>
      </w:r>
      <w:r>
        <w:rPr>
          <w:rFonts w:hint="eastAsia" w:ascii="宋体" w:hAnsi="宋体" w:eastAsia="宋体" w:cs="宋体"/>
          <w:color w:val="000000" w:themeColor="text1"/>
          <w:sz w:val="24"/>
          <w:szCs w:val="24"/>
          <w:highlight w:val="none"/>
          <w14:textFill>
            <w14:solidFill>
              <w14:schemeClr w14:val="tx1"/>
            </w14:solidFill>
          </w14:textFill>
        </w:rPr>
        <w:t>，保持公司内</w:t>
      </w:r>
      <w:r>
        <w:rPr>
          <w:rFonts w:hint="eastAsia" w:ascii="宋体" w:hAnsi="宋体" w:eastAsia="宋体" w:cs="宋体"/>
          <w:color w:val="000000" w:themeColor="text1"/>
          <w:sz w:val="24"/>
          <w:szCs w:val="24"/>
          <w:highlight w:val="none"/>
          <w:lang w:val="en-US" w:eastAsia="zh-CN"/>
          <w14:textFill>
            <w14:solidFill>
              <w14:schemeClr w14:val="tx1"/>
            </w14:solidFill>
          </w14:textFill>
        </w:rPr>
        <w:t>劳务班组</w:t>
      </w:r>
      <w:r>
        <w:rPr>
          <w:rFonts w:hint="eastAsia" w:ascii="宋体" w:hAnsi="宋体" w:eastAsia="宋体" w:cs="宋体"/>
          <w:color w:val="000000" w:themeColor="text1"/>
          <w:sz w:val="24"/>
          <w:szCs w:val="24"/>
          <w:highlight w:val="none"/>
          <w14:textFill>
            <w14:solidFill>
              <w14:schemeClr w14:val="tx1"/>
            </w14:solidFill>
          </w14:textFill>
        </w:rPr>
        <w:t>良好的竞争力，本着择优选择</w:t>
      </w:r>
      <w:r>
        <w:rPr>
          <w:rFonts w:hint="eastAsia" w:ascii="宋体" w:hAnsi="宋体" w:eastAsia="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班组，制定此办法。</w:t>
      </w:r>
    </w:p>
    <w:p w14:paraId="4C8B0346">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本办法适用于本公司入围的劳务班组。</w:t>
      </w:r>
    </w:p>
    <w:p w14:paraId="4FE4377E">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劳务班组综合评价管理</w:t>
      </w:r>
      <w:r>
        <w:rPr>
          <w:rFonts w:hint="eastAsia" w:ascii="宋体" w:hAnsi="宋体" w:eastAsia="宋体" w:cs="宋体"/>
          <w:color w:val="000000" w:themeColor="text1"/>
          <w:sz w:val="24"/>
          <w:szCs w:val="24"/>
          <w:highlight w:val="none"/>
          <w:lang w:val="en-US" w:eastAsia="zh-CN"/>
          <w14:textFill>
            <w14:solidFill>
              <w14:schemeClr w14:val="tx1"/>
            </w14:solidFill>
          </w14:textFill>
        </w:rPr>
        <w:t>办法</w:t>
      </w:r>
      <w:r>
        <w:rPr>
          <w:rFonts w:hint="eastAsia" w:ascii="宋体" w:hAnsi="宋体" w:eastAsia="宋体" w:cs="宋体"/>
          <w:color w:val="000000" w:themeColor="text1"/>
          <w:sz w:val="24"/>
          <w:szCs w:val="24"/>
          <w:highlight w:val="none"/>
          <w14:textFill>
            <w14:solidFill>
              <w14:schemeClr w14:val="tx1"/>
            </w14:solidFill>
          </w14:textFill>
        </w:rPr>
        <w:t>按照“自愿、公开、竞争、择优”原则，公司对各</w:t>
      </w:r>
      <w:r>
        <w:rPr>
          <w:rFonts w:hint="eastAsia" w:ascii="宋体" w:hAnsi="宋体" w:eastAsia="宋体" w:cs="宋体"/>
          <w:b w:val="0"/>
          <w:bCs w:val="0"/>
          <w:i w:val="0"/>
          <w:iCs w:val="0"/>
          <w:color w:val="000000" w:themeColor="text1"/>
          <w:sz w:val="24"/>
          <w:szCs w:val="24"/>
          <w:highlight w:val="none"/>
          <w14:textFill>
            <w14:solidFill>
              <w14:schemeClr w14:val="tx1"/>
            </w14:solidFill>
          </w14:textFill>
        </w:rPr>
        <w:t>劳务班组</w:t>
      </w:r>
      <w:r>
        <w:rPr>
          <w:rFonts w:hint="eastAsia" w:ascii="宋体" w:hAnsi="宋体" w:eastAsia="宋体" w:cs="宋体"/>
          <w:b w:val="0"/>
          <w:bCs w:val="0"/>
          <w:i w:val="0"/>
          <w:iCs w:val="0"/>
          <w:color w:val="000000" w:themeColor="text1"/>
          <w:sz w:val="24"/>
          <w:szCs w:val="24"/>
          <w:highlight w:val="none"/>
          <w:lang w:val="en-US" w:eastAsia="zh-CN"/>
          <w14:textFill>
            <w14:solidFill>
              <w14:schemeClr w14:val="tx1"/>
            </w14:solidFill>
          </w14:textFill>
        </w:rPr>
        <w:t>进行年度综合</w:t>
      </w:r>
      <w:r>
        <w:rPr>
          <w:rFonts w:hint="eastAsia" w:ascii="宋体" w:hAnsi="宋体" w:eastAsia="宋体" w:cs="宋体"/>
          <w:b w:val="0"/>
          <w:bCs w:val="0"/>
          <w:i w:val="0"/>
          <w:iCs w:val="0"/>
          <w:color w:val="000000" w:themeColor="text1"/>
          <w:sz w:val="24"/>
          <w:szCs w:val="24"/>
          <w:highlight w:val="none"/>
          <w14:textFill>
            <w14:solidFill>
              <w14:schemeClr w14:val="tx1"/>
            </w14:solidFill>
          </w14:textFill>
        </w:rPr>
        <w:t>评价，</w:t>
      </w:r>
      <w:r>
        <w:rPr>
          <w:rFonts w:hint="eastAsia" w:ascii="宋体" w:hAnsi="宋体" w:eastAsia="宋体" w:cs="宋体"/>
          <w:b w:val="0"/>
          <w:bCs w:val="0"/>
          <w:i w:val="0"/>
          <w:iCs w:val="0"/>
          <w:color w:val="000000" w:themeColor="text1"/>
          <w:sz w:val="24"/>
          <w:szCs w:val="24"/>
          <w:highlight w:val="none"/>
          <w:lang w:val="en-US" w:eastAsia="zh-CN"/>
          <w14:textFill>
            <w14:solidFill>
              <w14:schemeClr w14:val="tx1"/>
            </w14:solidFill>
          </w14:textFill>
        </w:rPr>
        <w:t>按</w:t>
      </w:r>
      <w:r>
        <w:rPr>
          <w:rFonts w:hint="eastAsia" w:ascii="宋体" w:hAnsi="宋体" w:eastAsia="宋体" w:cs="宋体"/>
          <w:b w:val="0"/>
          <w:bCs w:val="0"/>
          <w:i w:val="0"/>
          <w:iCs w:val="0"/>
          <w:color w:val="000000" w:themeColor="text1"/>
          <w:sz w:val="24"/>
          <w:szCs w:val="24"/>
          <w:highlight w:val="none"/>
          <w14:textFill>
            <w14:solidFill>
              <w14:schemeClr w14:val="tx1"/>
            </w14:solidFill>
          </w14:textFill>
        </w:rPr>
        <w:t>A、B、C、D四类</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分别代表为</w:t>
      </w:r>
      <w:r>
        <w:rPr>
          <w:rFonts w:hint="eastAsia" w:ascii="宋体" w:hAnsi="宋体" w:eastAsia="宋体" w:cs="宋体"/>
          <w:color w:val="000000" w:themeColor="text1"/>
          <w:sz w:val="24"/>
          <w:szCs w:val="24"/>
          <w:highlight w:val="none"/>
          <w14:textFill>
            <w14:solidFill>
              <w14:schemeClr w14:val="tx1"/>
            </w14:solidFill>
          </w14:textFill>
        </w:rPr>
        <w:t>“优良、良好、一般、不合格”</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进行组别分类</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劳务班组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年度综合</w:t>
      </w:r>
      <w:r>
        <w:rPr>
          <w:rFonts w:hint="eastAsia" w:ascii="宋体" w:hAnsi="宋体" w:eastAsia="宋体" w:cs="宋体"/>
          <w:color w:val="000000" w:themeColor="text1"/>
          <w:sz w:val="24"/>
          <w:szCs w:val="24"/>
          <w:highlight w:val="none"/>
          <w14:textFill>
            <w14:solidFill>
              <w14:schemeClr w14:val="tx1"/>
            </w14:solidFill>
          </w14:textFill>
        </w:rPr>
        <w:t>评价以</w:t>
      </w:r>
      <w:r>
        <w:rPr>
          <w:rFonts w:hint="eastAsia" w:ascii="宋体" w:hAnsi="宋体" w:eastAsia="宋体" w:cs="宋体"/>
          <w:color w:val="000000" w:themeColor="text1"/>
          <w:sz w:val="24"/>
          <w:szCs w:val="24"/>
          <w:highlight w:val="none"/>
          <w:lang w:val="en-US" w:eastAsia="zh-CN"/>
          <w14:textFill>
            <w14:solidFill>
              <w14:schemeClr w14:val="tx1"/>
            </w14:solidFill>
          </w14:textFill>
        </w:rPr>
        <w:t>年度</w:t>
      </w:r>
      <w:r>
        <w:rPr>
          <w:rFonts w:hint="eastAsia" w:ascii="宋体" w:hAnsi="宋体" w:eastAsia="宋体" w:cs="宋体"/>
          <w:color w:val="000000" w:themeColor="text1"/>
          <w:sz w:val="24"/>
          <w:szCs w:val="24"/>
          <w:highlight w:val="none"/>
          <w14:textFill>
            <w14:solidFill>
              <w14:schemeClr w14:val="tx1"/>
            </w14:solidFill>
          </w14:textFill>
        </w:rPr>
        <w:t>为周期，期间对劳务班组进行</w:t>
      </w:r>
      <w:r>
        <w:rPr>
          <w:rFonts w:hint="eastAsia" w:ascii="宋体" w:hAnsi="宋体" w:eastAsia="宋体" w:cs="宋体"/>
          <w:color w:val="000000" w:themeColor="text1"/>
          <w:sz w:val="24"/>
          <w:szCs w:val="24"/>
          <w:highlight w:val="none"/>
          <w:lang w:val="en-US" w:eastAsia="zh-CN"/>
          <w14:textFill>
            <w14:solidFill>
              <w14:schemeClr w14:val="tx1"/>
            </w14:solidFill>
          </w14:textFill>
        </w:rPr>
        <w:t>月度考核季度评价、公司年度评价</w:t>
      </w:r>
      <w:r>
        <w:rPr>
          <w:rFonts w:hint="eastAsia" w:ascii="宋体" w:hAnsi="宋体" w:eastAsia="宋体" w:cs="宋体"/>
          <w:color w:val="000000" w:themeColor="text1"/>
          <w:sz w:val="24"/>
          <w:szCs w:val="24"/>
          <w:highlight w:val="none"/>
          <w14:textFill>
            <w14:solidFill>
              <w14:schemeClr w14:val="tx1"/>
            </w14:solidFill>
          </w14:textFill>
        </w:rPr>
        <w:t>。</w:t>
      </w:r>
    </w:p>
    <w:p w14:paraId="2B020427">
      <w:pPr>
        <w:numPr>
          <w:ilvl w:val="0"/>
          <w:numId w:val="8"/>
        </w:numPr>
        <w:ind w:left="-10" w:leftChars="0" w:firstLine="640" w:firstLineChars="0"/>
        <w:rPr>
          <w:rFonts w:hint="eastAsia" w:ascii="宋体" w:hAnsi="宋体" w:eastAsia="宋体" w:cs="宋体"/>
          <w:b w:val="0"/>
          <w:bCs w:val="0"/>
          <w:i w:val="0"/>
          <w:i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劳务班组入围期限为2年。</w:t>
      </w:r>
    </w:p>
    <w:p w14:paraId="2519B3FD">
      <w:pPr>
        <w:numPr>
          <w:ilvl w:val="0"/>
          <w:numId w:val="8"/>
        </w:numPr>
        <w:ind w:left="-10" w:leftChars="0" w:firstLine="640" w:firstLineChars="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公司组建考核小组对劳务班组进行月度考核季度评价、公司年度评价。考核小组组长由公司总经理担任，副组长由公司副总经理担任，组员由各部门经理组成。</w:t>
      </w:r>
    </w:p>
    <w:p w14:paraId="5813E064">
      <w:pPr>
        <w:pStyle w:val="2"/>
        <w:numPr>
          <w:ilvl w:val="0"/>
          <w:numId w:val="7"/>
        </w:numPr>
        <w:jc w:val="center"/>
        <w:rPr>
          <w:rFonts w:hint="eastAsia" w:ascii="宋体" w:hAnsi="宋体" w:eastAsia="宋体" w:cs="宋体"/>
          <w:color w:val="000000" w:themeColor="text1"/>
          <w:sz w:val="24"/>
          <w:szCs w:val="24"/>
          <w:highlight w:val="none"/>
          <w14:textFill>
            <w14:solidFill>
              <w14:schemeClr w14:val="tx1"/>
            </w14:solidFill>
          </w14:textFill>
        </w:rPr>
      </w:pPr>
      <w:bookmarkStart w:id="315" w:name="_Toc23643"/>
      <w:bookmarkStart w:id="316" w:name="_Toc15911"/>
      <w:bookmarkStart w:id="317" w:name="_Toc15579"/>
      <w:r>
        <w:rPr>
          <w:rFonts w:hint="eastAsia" w:ascii="宋体" w:hAnsi="宋体" w:eastAsia="宋体" w:cs="宋体"/>
          <w:color w:val="000000" w:themeColor="text1"/>
          <w:sz w:val="24"/>
          <w:szCs w:val="24"/>
          <w:highlight w:val="none"/>
          <w14:textFill>
            <w14:solidFill>
              <w14:schemeClr w14:val="tx1"/>
            </w14:solidFill>
          </w14:textFill>
        </w:rPr>
        <w:t>投标权益</w:t>
      </w:r>
      <w:r>
        <w:rPr>
          <w:rFonts w:hint="eastAsia" w:ascii="宋体" w:hAnsi="宋体" w:eastAsia="宋体" w:cs="宋体"/>
          <w:color w:val="000000" w:themeColor="text1"/>
          <w:sz w:val="24"/>
          <w:szCs w:val="24"/>
          <w:highlight w:val="none"/>
          <w:lang w:val="en-US" w:eastAsia="zh-CN"/>
          <w14:textFill>
            <w14:solidFill>
              <w14:schemeClr w14:val="tx1"/>
            </w14:solidFill>
          </w14:textFill>
        </w:rPr>
        <w:t>及</w:t>
      </w:r>
      <w:r>
        <w:rPr>
          <w:rFonts w:hint="eastAsia" w:ascii="宋体" w:hAnsi="宋体" w:eastAsia="宋体" w:cs="宋体"/>
          <w:color w:val="000000" w:themeColor="text1"/>
          <w:sz w:val="24"/>
          <w:szCs w:val="24"/>
          <w:highlight w:val="none"/>
          <w14:textFill>
            <w14:solidFill>
              <w14:schemeClr w14:val="tx1"/>
            </w14:solidFill>
          </w14:textFill>
        </w:rPr>
        <w:t>组别的确定</w:t>
      </w:r>
      <w:bookmarkEnd w:id="315"/>
      <w:bookmarkEnd w:id="316"/>
      <w:bookmarkEnd w:id="317"/>
    </w:p>
    <w:p w14:paraId="1B20E6F9">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劳务班组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年度</w:t>
      </w:r>
      <w:r>
        <w:rPr>
          <w:rFonts w:hint="eastAsia" w:ascii="宋体" w:hAnsi="宋体" w:eastAsia="宋体" w:cs="宋体"/>
          <w:b w:val="0"/>
          <w:bCs w:val="0"/>
          <w:i w:val="0"/>
          <w:iCs w:val="0"/>
          <w:color w:val="000000" w:themeColor="text1"/>
          <w:sz w:val="24"/>
          <w:szCs w:val="24"/>
          <w:highlight w:val="none"/>
          <w:lang w:val="en-US" w:eastAsia="zh-CN"/>
          <w14:textFill>
            <w14:solidFill>
              <w14:schemeClr w14:val="tx1"/>
            </w14:solidFill>
          </w14:textFill>
        </w:rPr>
        <w:t>综合</w:t>
      </w:r>
      <w:r>
        <w:rPr>
          <w:rFonts w:hint="eastAsia" w:ascii="宋体" w:hAnsi="宋体" w:eastAsia="宋体" w:cs="宋体"/>
          <w:b w:val="0"/>
          <w:bCs w:val="0"/>
          <w:i w:val="0"/>
          <w:iCs w:val="0"/>
          <w:color w:val="000000" w:themeColor="text1"/>
          <w:sz w:val="24"/>
          <w:szCs w:val="24"/>
          <w:highlight w:val="none"/>
          <w14:textFill>
            <w14:solidFill>
              <w14:schemeClr w14:val="tx1"/>
            </w14:solidFill>
          </w14:textFill>
        </w:rPr>
        <w:t>评价</w:t>
      </w:r>
      <w:r>
        <w:rPr>
          <w:rFonts w:hint="eastAsia" w:ascii="宋体" w:hAnsi="宋体" w:eastAsia="宋体" w:cs="宋体"/>
          <w:color w:val="000000" w:themeColor="text1"/>
          <w:sz w:val="24"/>
          <w:szCs w:val="24"/>
          <w:highlight w:val="none"/>
          <w14:textFill>
            <w14:solidFill>
              <w14:schemeClr w14:val="tx1"/>
            </w14:solidFill>
          </w14:textFill>
        </w:rPr>
        <w:t>分为A、B、C、D四类，A类考核分</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0（含）</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100，B类考核分</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14:textFill>
            <w14:solidFill>
              <w14:schemeClr w14:val="tx1"/>
            </w14:solidFill>
          </w14:textFill>
        </w:rPr>
        <w:t>0（含）</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0（不含），C类考核分</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0（含）</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14:textFill>
            <w14:solidFill>
              <w14:schemeClr w14:val="tx1"/>
            </w14:solidFill>
          </w14:textFill>
        </w:rPr>
        <w:t>0（不含），D类考核分</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lang w:val="en-US" w:eastAsia="zh-CN"/>
          <w14:textFill>
            <w14:solidFill>
              <w14:schemeClr w14:val="tx1"/>
            </w14:solidFill>
          </w14:textFill>
        </w:rPr>
        <w:t>0</w:t>
      </w:r>
      <w:r>
        <w:rPr>
          <w:rFonts w:hint="eastAsia" w:ascii="宋体" w:hAnsi="宋体" w:eastAsia="宋体" w:cs="宋体"/>
          <w:color w:val="000000" w:themeColor="text1"/>
          <w:sz w:val="24"/>
          <w:szCs w:val="24"/>
          <w:highlight w:val="none"/>
          <w14:textFill>
            <w14:solidFill>
              <w14:schemeClr w14:val="tx1"/>
            </w14:solidFill>
          </w14:textFill>
        </w:rPr>
        <w:t>分（不含）以下</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A类代表优秀，B类代表良好，C类代表一般，D类代表不合格。</w:t>
      </w:r>
      <w:r>
        <w:rPr>
          <w:rFonts w:hint="eastAsia" w:ascii="宋体" w:hAnsi="宋体" w:eastAsia="宋体" w:cs="宋体"/>
          <w:color w:val="000000" w:themeColor="text1"/>
          <w:sz w:val="24"/>
          <w:szCs w:val="24"/>
          <w:highlight w:val="none"/>
          <w:lang w:val="en-US" w:eastAsia="zh-CN"/>
          <w14:textFill>
            <w14:solidFill>
              <w14:schemeClr w14:val="tx1"/>
            </w14:solidFill>
          </w14:textFill>
        </w:rPr>
        <w:t>具体权限如下：</w:t>
      </w:r>
    </w:p>
    <w:p w14:paraId="409D59D0">
      <w:pPr>
        <w:keepNext w:val="0"/>
        <w:keepLines w:val="0"/>
        <w:pageBreakBefore w:val="0"/>
        <w:widowControl w:val="0"/>
        <w:tabs>
          <w:tab w:val="left" w:pos="0"/>
        </w:tabs>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1、A类劳务班组，可参与</w:t>
      </w:r>
      <w:r>
        <w:rPr>
          <w:rFonts w:hint="eastAsia" w:ascii="宋体" w:hAnsi="宋体" w:eastAsia="宋体" w:cs="宋体"/>
          <w:color w:val="000000" w:themeColor="text1"/>
          <w:sz w:val="24"/>
          <w:szCs w:val="24"/>
          <w:highlight w:val="none"/>
          <w:lang w:eastAsia="zh-CN"/>
          <w14:textFill>
            <w14:solidFill>
              <w14:schemeClr w14:val="tx1"/>
            </w14:solidFill>
          </w14:textFill>
        </w:rPr>
        <w:t>华水水业和农村供水公司</w:t>
      </w:r>
      <w:r>
        <w:rPr>
          <w:rFonts w:hint="eastAsia" w:ascii="宋体" w:hAnsi="宋体" w:eastAsia="宋体" w:cs="宋体"/>
          <w:color w:val="000000" w:themeColor="text1"/>
          <w:sz w:val="24"/>
          <w:szCs w:val="24"/>
          <w:highlight w:val="none"/>
          <w14:textFill>
            <w14:solidFill>
              <w14:schemeClr w14:val="tx1"/>
            </w14:solidFill>
          </w14:textFill>
        </w:rPr>
        <w:t>所有项目的招标</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年度无在建项目数量限制</w:t>
      </w:r>
      <w:r>
        <w:rPr>
          <w:rFonts w:hint="eastAsia" w:ascii="宋体" w:hAnsi="宋体" w:eastAsia="宋体" w:cs="宋体"/>
          <w:color w:val="000000" w:themeColor="text1"/>
          <w:sz w:val="24"/>
          <w:szCs w:val="24"/>
          <w:highlight w:val="none"/>
          <w14:textFill>
            <w14:solidFill>
              <w14:schemeClr w14:val="tx1"/>
            </w14:solidFill>
          </w14:textFill>
        </w:rPr>
        <w:t>。</w:t>
      </w:r>
    </w:p>
    <w:p w14:paraId="3F74EE96">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2、B类劳务班组，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年度在建项目数量限制在3个以内（含3个）</w:t>
      </w:r>
      <w:r>
        <w:rPr>
          <w:rFonts w:hint="eastAsia" w:ascii="宋体" w:hAnsi="宋体" w:eastAsia="宋体" w:cs="宋体"/>
          <w:color w:val="000000" w:themeColor="text1"/>
          <w:sz w:val="24"/>
          <w:szCs w:val="24"/>
          <w:highlight w:val="none"/>
          <w14:textFill>
            <w14:solidFill>
              <w14:schemeClr w14:val="tx1"/>
            </w14:solidFill>
          </w14:textFill>
        </w:rPr>
        <w:t>。</w:t>
      </w:r>
    </w:p>
    <w:p w14:paraId="3E1C21EA">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3、C类劳务班组，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年度在建项目数量限制在1个以内（含1个）</w:t>
      </w:r>
      <w:r>
        <w:rPr>
          <w:rFonts w:hint="eastAsia" w:ascii="宋体" w:hAnsi="宋体" w:eastAsia="宋体" w:cs="宋体"/>
          <w:color w:val="000000" w:themeColor="text1"/>
          <w:sz w:val="24"/>
          <w:szCs w:val="24"/>
          <w:highlight w:val="none"/>
          <w14:textFill>
            <w14:solidFill>
              <w14:schemeClr w14:val="tx1"/>
            </w14:solidFill>
          </w14:textFill>
        </w:rPr>
        <w:t>。</w:t>
      </w:r>
    </w:p>
    <w:p w14:paraId="6676271D">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4、D类劳务班组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退出班组库不可参加任何项目招投标，5年内不可入围公司班组库</w:t>
      </w:r>
      <w:r>
        <w:rPr>
          <w:rFonts w:hint="eastAsia" w:ascii="宋体" w:hAnsi="宋体" w:eastAsia="宋体" w:cs="宋体"/>
          <w:color w:val="000000" w:themeColor="text1"/>
          <w:sz w:val="24"/>
          <w:szCs w:val="24"/>
          <w:highlight w:val="none"/>
          <w14:textFill>
            <w14:solidFill>
              <w14:schemeClr w14:val="tx1"/>
            </w14:solidFill>
          </w14:textFill>
        </w:rPr>
        <w:t>。</w:t>
      </w:r>
    </w:p>
    <w:p w14:paraId="751DFA05">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5、已达到在建项目数量限制的劳务班组，不得参加公司本年度项目招投标（ 除特殊情况外）。</w:t>
      </w:r>
    </w:p>
    <w:p w14:paraId="360D5956">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6、在建项目定义为开工至完工验收阶段。</w:t>
      </w:r>
    </w:p>
    <w:p w14:paraId="48AB52C5">
      <w:pPr>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ascii="宋体" w:hAnsi="宋体" w:eastAsia="宋体" w:cs="宋体"/>
          <w:b w:val="0"/>
          <w:bCs w:val="0"/>
          <w:i w:val="0"/>
          <w:iCs w:val="0"/>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第七条</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劳务班组</w:t>
      </w:r>
      <w:r>
        <w:rPr>
          <w:rFonts w:hint="eastAsia" w:ascii="宋体" w:hAnsi="宋体" w:eastAsia="宋体" w:cs="宋体"/>
          <w:color w:val="000000" w:themeColor="text1"/>
          <w:sz w:val="24"/>
          <w:szCs w:val="24"/>
          <w:highlight w:val="none"/>
          <w:lang w:eastAsia="zh-CN"/>
          <w14:textFill>
            <w14:solidFill>
              <w14:schemeClr w14:val="tx1"/>
            </w14:solidFill>
          </w14:textFill>
        </w:rPr>
        <w:t>年度</w:t>
      </w:r>
      <w:r>
        <w:rPr>
          <w:rFonts w:hint="eastAsia" w:ascii="宋体" w:hAnsi="宋体" w:eastAsia="宋体" w:cs="宋体"/>
          <w:b w:val="0"/>
          <w:bCs w:val="0"/>
          <w:i w:val="0"/>
          <w:iCs w:val="0"/>
          <w:color w:val="000000" w:themeColor="text1"/>
          <w:sz w:val="24"/>
          <w:szCs w:val="24"/>
          <w:highlight w:val="none"/>
          <w:lang w:val="en-US" w:eastAsia="zh-CN"/>
          <w14:textFill>
            <w14:solidFill>
              <w14:schemeClr w14:val="tx1"/>
            </w14:solidFill>
          </w14:textFill>
        </w:rPr>
        <w:t>综合</w:t>
      </w:r>
      <w:r>
        <w:rPr>
          <w:rFonts w:hint="eastAsia" w:ascii="宋体" w:hAnsi="宋体" w:eastAsia="宋体" w:cs="宋体"/>
          <w:b w:val="0"/>
          <w:bCs w:val="0"/>
          <w:i w:val="0"/>
          <w:iCs w:val="0"/>
          <w:color w:val="000000" w:themeColor="text1"/>
          <w:sz w:val="24"/>
          <w:szCs w:val="24"/>
          <w:highlight w:val="none"/>
          <w14:textFill>
            <w14:solidFill>
              <w14:schemeClr w14:val="tx1"/>
            </w14:solidFill>
          </w14:textFill>
        </w:rPr>
        <w:t>评价</w:t>
      </w:r>
    </w:p>
    <w:p w14:paraId="4B328543">
      <w:pPr>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val="0"/>
          <w:bCs w:val="0"/>
          <w:i w:val="0"/>
          <w:iCs w:val="0"/>
          <w:color w:val="000000" w:themeColor="text1"/>
          <w:sz w:val="24"/>
          <w:szCs w:val="24"/>
          <w:highlight w:val="none"/>
          <w:lang w:val="en-US" w:eastAsia="zh-CN"/>
          <w14:textFill>
            <w14:solidFill>
              <w14:schemeClr w14:val="tx1"/>
            </w14:solidFill>
          </w14:textFill>
        </w:rPr>
        <w:t>年度综合评价由季度考核算术平均值与公司年度评价组成。季度考核算术平均值占比80%，公司年度评价占比20%。</w:t>
      </w:r>
    </w:p>
    <w:p w14:paraId="79219C24">
      <w:pPr>
        <w:keepNext w:val="0"/>
        <w:keepLines w:val="0"/>
        <w:pageBreakBefore w:val="0"/>
        <w:widowControl w:val="0"/>
        <w:numPr>
          <w:ilvl w:val="0"/>
          <w:numId w:val="0"/>
        </w:numPr>
        <w:tabs>
          <w:tab w:val="left" w:pos="0"/>
        </w:tabs>
        <w:kinsoku/>
        <w:wordWrap/>
        <w:overflowPunct/>
        <w:topLinePunct w:val="0"/>
        <w:autoSpaceDE/>
        <w:autoSpaceDN/>
        <w:bidi w:val="0"/>
        <w:adjustRightInd/>
        <w:snapToGrid/>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第八条</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公司将在</w:t>
      </w:r>
      <w:r>
        <w:rPr>
          <w:rFonts w:hint="eastAsia" w:ascii="宋体" w:hAnsi="宋体" w:eastAsia="宋体" w:cs="宋体"/>
          <w:color w:val="000000" w:themeColor="text1"/>
          <w:sz w:val="24"/>
          <w:szCs w:val="24"/>
          <w:highlight w:val="none"/>
          <w:lang w:eastAsia="zh-CN"/>
          <w14:textFill>
            <w14:solidFill>
              <w14:schemeClr w14:val="tx1"/>
            </w14:solidFill>
          </w14:textFill>
        </w:rPr>
        <w:t>每季度</w:t>
      </w:r>
      <w:r>
        <w:rPr>
          <w:rFonts w:hint="eastAsia" w:ascii="宋体" w:hAnsi="宋体" w:eastAsia="宋体" w:cs="宋体"/>
          <w:color w:val="000000" w:themeColor="text1"/>
          <w:sz w:val="24"/>
          <w:szCs w:val="24"/>
          <w:highlight w:val="none"/>
          <w:lang w:val="en-US" w:eastAsia="zh-CN"/>
          <w14:textFill>
            <w14:solidFill>
              <w14:schemeClr w14:val="tx1"/>
            </w14:solidFill>
          </w14:textFill>
        </w:rPr>
        <w:t>次月</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上旬对</w:t>
      </w:r>
      <w:r>
        <w:rPr>
          <w:rFonts w:hint="eastAsia" w:ascii="宋体" w:hAnsi="宋体" w:eastAsia="宋体" w:cs="宋体"/>
          <w:color w:val="000000" w:themeColor="text1"/>
          <w:sz w:val="24"/>
          <w:szCs w:val="24"/>
          <w:highlight w:val="none"/>
          <w14:textFill>
            <w14:solidFill>
              <w14:schemeClr w14:val="tx1"/>
            </w14:solidFill>
          </w14:textFill>
        </w:rPr>
        <w:t>劳务</w:t>
      </w:r>
      <w:r>
        <w:rPr>
          <w:rFonts w:hint="eastAsia" w:ascii="宋体" w:hAnsi="宋体" w:eastAsia="宋体" w:cs="宋体"/>
          <w:color w:val="000000" w:themeColor="text1"/>
          <w:sz w:val="24"/>
          <w:szCs w:val="24"/>
          <w:highlight w:val="none"/>
          <w:lang w:val="en-US" w:eastAsia="zh-CN"/>
          <w14:textFill>
            <w14:solidFill>
              <w14:schemeClr w14:val="tx1"/>
            </w14:solidFill>
          </w14:textFill>
        </w:rPr>
        <w:t>承包</w:t>
      </w:r>
      <w:r>
        <w:rPr>
          <w:rFonts w:hint="eastAsia" w:ascii="宋体" w:hAnsi="宋体" w:eastAsia="宋体" w:cs="宋体"/>
          <w:color w:val="000000" w:themeColor="text1"/>
          <w:sz w:val="24"/>
          <w:szCs w:val="24"/>
          <w:highlight w:val="none"/>
          <w14:textFill>
            <w14:solidFill>
              <w14:schemeClr w14:val="tx1"/>
            </w14:solidFill>
          </w14:textFill>
        </w:rPr>
        <w:t>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进行月度考核</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每季度统计一次作为班组年度综合评价依据，新建单独招标项目竣（完）工6个月后进行竣（完）工阶段考核。年度进行综合评价确定班组组别，并以文件的形式公布，作为次年度班组施工权限依据</w:t>
      </w:r>
      <w:r>
        <w:rPr>
          <w:rFonts w:hint="eastAsia" w:ascii="宋体" w:hAnsi="宋体" w:eastAsia="宋体" w:cs="宋体"/>
          <w:color w:val="000000" w:themeColor="text1"/>
          <w:sz w:val="24"/>
          <w:szCs w:val="24"/>
          <w:highlight w:val="none"/>
          <w14:textFill>
            <w14:solidFill>
              <w14:schemeClr w14:val="tx1"/>
            </w14:solidFill>
          </w14:textFill>
        </w:rPr>
        <w:t>。</w:t>
      </w:r>
    </w:p>
    <w:p w14:paraId="02D9B092">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存在下列情形的，第一次予以警告，第二次劳务班组年度综合评价为D类。</w:t>
      </w:r>
    </w:p>
    <w:p w14:paraId="2AE9A01F">
      <w:pPr>
        <w:keepNext w:val="0"/>
        <w:keepLines w:val="0"/>
        <w:pageBreakBefore w:val="0"/>
        <w:widowControl w:val="0"/>
        <w:numPr>
          <w:ilvl w:val="0"/>
          <w:numId w:val="9"/>
        </w:numPr>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对检查时发现安全隐患，拒不整改的。</w:t>
      </w:r>
    </w:p>
    <w:p w14:paraId="25CC5726">
      <w:pPr>
        <w:keepNext w:val="0"/>
        <w:keepLines w:val="0"/>
        <w:pageBreakBefore w:val="0"/>
        <w:widowControl w:val="0"/>
        <w:numPr>
          <w:ilvl w:val="0"/>
          <w:numId w:val="9"/>
        </w:numPr>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工程施工验收不合格，且整改二次后还未达标的</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4ECD1C53">
      <w:pPr>
        <w:keepNext w:val="0"/>
        <w:keepLines w:val="0"/>
        <w:pageBreakBefore w:val="0"/>
        <w:widowControl w:val="0"/>
        <w:numPr>
          <w:ilvl w:val="0"/>
          <w:numId w:val="9"/>
        </w:numPr>
        <w:kinsoku/>
        <w:wordWrap/>
        <w:overflowPunct/>
        <w:topLinePunct w:val="0"/>
        <w:autoSpaceDE/>
        <w:autoSpaceDN/>
        <w:bidi w:val="0"/>
        <w:adjustRightInd/>
        <w:snapToGrid/>
        <w:ind w:lef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劳务班组</w:t>
      </w:r>
      <w:r>
        <w:rPr>
          <w:rFonts w:hint="eastAsia" w:ascii="宋体" w:hAnsi="宋体" w:eastAsia="宋体" w:cs="宋体"/>
          <w:color w:val="000000" w:themeColor="text1"/>
          <w:sz w:val="24"/>
          <w:szCs w:val="24"/>
          <w:highlight w:val="none"/>
          <w:lang w:val="en-US" w:eastAsia="zh-CN"/>
          <w14:textFill>
            <w14:solidFill>
              <w14:schemeClr w14:val="tx1"/>
            </w14:solidFill>
          </w14:textFill>
        </w:rPr>
        <w:t>应</w:t>
      </w:r>
      <w:r>
        <w:rPr>
          <w:rFonts w:hint="eastAsia" w:ascii="宋体" w:hAnsi="宋体" w:eastAsia="宋体" w:cs="宋体"/>
          <w:color w:val="000000" w:themeColor="text1"/>
          <w:sz w:val="24"/>
          <w:szCs w:val="24"/>
          <w:highlight w:val="none"/>
          <w14:textFill>
            <w14:solidFill>
              <w14:schemeClr w14:val="tx1"/>
            </w14:solidFill>
          </w14:textFill>
        </w:rPr>
        <w:t>无条件服从公司工作安排，非特殊原因拒绝公司工作安排的</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5AF710AF">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存在下列情形的，劳务班组年度综合评价为D类，处罚款5000元。</w:t>
      </w:r>
    </w:p>
    <w:p w14:paraId="45399C72">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发生重伤事故及以上安全事故</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一票否决，</w:t>
      </w:r>
      <w:r>
        <w:rPr>
          <w:rFonts w:hint="eastAsia" w:ascii="宋体" w:hAnsi="宋体" w:eastAsia="宋体" w:cs="宋体"/>
          <w:color w:val="000000" w:themeColor="text1"/>
          <w:sz w:val="24"/>
          <w:szCs w:val="24"/>
          <w:highlight w:val="none"/>
          <w14:textFill>
            <w14:solidFill>
              <w14:schemeClr w14:val="tx1"/>
            </w14:solidFill>
          </w14:textFill>
        </w:rPr>
        <w:t>同时</w:t>
      </w:r>
      <w:r>
        <w:rPr>
          <w:rFonts w:hint="eastAsia" w:ascii="宋体" w:hAnsi="宋体" w:eastAsia="宋体" w:cs="宋体"/>
          <w:color w:val="000000" w:themeColor="text1"/>
          <w:sz w:val="24"/>
          <w:szCs w:val="24"/>
          <w:highlight w:val="none"/>
          <w:lang w:eastAsia="zh-CN"/>
          <w14:textFill>
            <w14:solidFill>
              <w14:schemeClr w14:val="tx1"/>
            </w14:solidFill>
          </w14:textFill>
        </w:rPr>
        <w:t>劳务班组</w:t>
      </w:r>
      <w:r>
        <w:rPr>
          <w:rFonts w:hint="eastAsia" w:ascii="宋体" w:hAnsi="宋体" w:eastAsia="宋体" w:cs="宋体"/>
          <w:color w:val="000000" w:themeColor="text1"/>
          <w:sz w:val="24"/>
          <w:szCs w:val="24"/>
          <w:highlight w:val="none"/>
          <w14:textFill>
            <w14:solidFill>
              <w14:schemeClr w14:val="tx1"/>
            </w14:solidFill>
          </w14:textFill>
        </w:rPr>
        <w:t>承担一切经济损失</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6C69C53C">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发生严重及以上质量问题</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一票否决</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同时</w:t>
      </w:r>
      <w:r>
        <w:rPr>
          <w:rFonts w:hint="eastAsia" w:ascii="宋体" w:hAnsi="宋体" w:eastAsia="宋体" w:cs="宋体"/>
          <w:color w:val="000000" w:themeColor="text1"/>
          <w:sz w:val="24"/>
          <w:szCs w:val="24"/>
          <w:highlight w:val="none"/>
          <w:lang w:eastAsia="zh-CN"/>
          <w14:textFill>
            <w14:solidFill>
              <w14:schemeClr w14:val="tx1"/>
            </w14:solidFill>
          </w14:textFill>
        </w:rPr>
        <w:t>劳务班组</w:t>
      </w:r>
      <w:r>
        <w:rPr>
          <w:rFonts w:hint="eastAsia" w:ascii="宋体" w:hAnsi="宋体" w:eastAsia="宋体" w:cs="宋体"/>
          <w:color w:val="000000" w:themeColor="text1"/>
          <w:sz w:val="24"/>
          <w:szCs w:val="24"/>
          <w:highlight w:val="none"/>
          <w14:textFill>
            <w14:solidFill>
              <w14:schemeClr w14:val="tx1"/>
            </w14:solidFill>
          </w14:textFill>
        </w:rPr>
        <w:t>承担一切经济损失</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344E3C9F">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有计划停水施工，非特殊原因未在规定时间内完成施工并供水，造成负面影响严重</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并承担由此产生的一切损失及相应责任</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C88907A">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有串标、恶意废标</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转包等行为</w:t>
      </w:r>
      <w:r>
        <w:rPr>
          <w:rFonts w:hint="eastAsia" w:ascii="宋体" w:hAnsi="宋体" w:eastAsia="宋体" w:cs="宋体"/>
          <w:color w:val="000000" w:themeColor="text1"/>
          <w:sz w:val="24"/>
          <w:szCs w:val="24"/>
          <w:highlight w:val="none"/>
          <w14:textFill>
            <w14:solidFill>
              <w14:schemeClr w14:val="tx1"/>
            </w14:solidFill>
          </w14:textFill>
        </w:rPr>
        <w:t>的</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01DE5DA4">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保修期内出现质量问题拒不修复的</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3ED62F24">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对检查时发现的质量问题，拒不整改的</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DBBB09D">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管道试压弄虚做假的</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F40A686">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劳务施工班组擅自更换施工材料、降低材料质量等级</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由此产生的相关费用和责任由劳务班组承担，给公司造成损失的由施工班组承担等价赔偿。</w:t>
      </w:r>
    </w:p>
    <w:p w14:paraId="6E8B5ED9">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竣（完）工验收</w:t>
      </w:r>
      <w:r>
        <w:rPr>
          <w:rFonts w:hint="eastAsia" w:ascii="宋体" w:hAnsi="宋体" w:eastAsia="宋体" w:cs="宋体"/>
          <w:color w:val="000000" w:themeColor="text1"/>
          <w:sz w:val="24"/>
          <w:szCs w:val="24"/>
          <w:highlight w:val="none"/>
          <w:lang w:val="en-US" w:eastAsia="zh-CN"/>
          <w14:textFill>
            <w14:solidFill>
              <w14:schemeClr w14:val="tx1"/>
            </w14:solidFill>
          </w14:textFill>
        </w:rPr>
        <w:t>经2次验收</w:t>
      </w:r>
      <w:r>
        <w:rPr>
          <w:rFonts w:hint="eastAsia" w:ascii="宋体" w:hAnsi="宋体" w:eastAsia="宋体" w:cs="宋体"/>
          <w:color w:val="000000" w:themeColor="text1"/>
          <w:sz w:val="24"/>
          <w:szCs w:val="24"/>
          <w:highlight w:val="none"/>
          <w14:textFill>
            <w14:solidFill>
              <w14:schemeClr w14:val="tx1"/>
            </w14:solidFill>
          </w14:textFill>
        </w:rPr>
        <w:t>未通过</w:t>
      </w:r>
      <w:r>
        <w:rPr>
          <w:rFonts w:hint="eastAsia" w:ascii="宋体" w:hAnsi="宋体" w:eastAsia="宋体" w:cs="宋体"/>
          <w:color w:val="000000" w:themeColor="text1"/>
          <w:sz w:val="24"/>
          <w:szCs w:val="24"/>
          <w:highlight w:val="none"/>
          <w:lang w:val="en-US" w:eastAsia="zh-CN"/>
          <w14:textFill>
            <w14:solidFill>
              <w14:schemeClr w14:val="tx1"/>
            </w14:solidFill>
          </w14:textFill>
        </w:rPr>
        <w:t>的。</w:t>
      </w:r>
    </w:p>
    <w:p w14:paraId="615B1659">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甲供</w:t>
      </w:r>
      <w:r>
        <w:rPr>
          <w:rFonts w:hint="eastAsia" w:ascii="宋体" w:hAnsi="宋体" w:eastAsia="宋体" w:cs="宋体"/>
          <w:color w:val="000000" w:themeColor="text1"/>
          <w:sz w:val="24"/>
          <w:szCs w:val="24"/>
          <w:highlight w:val="none"/>
          <w14:textFill>
            <w14:solidFill>
              <w14:schemeClr w14:val="tx1"/>
            </w14:solidFill>
          </w14:textFill>
        </w:rPr>
        <w:t>材料不能挪作他用，经发现有挪用或侵占行为</w:t>
      </w:r>
      <w:r>
        <w:rPr>
          <w:rFonts w:hint="eastAsia" w:ascii="宋体" w:hAnsi="宋体" w:eastAsia="宋体" w:cs="宋体"/>
          <w:color w:val="000000" w:themeColor="text1"/>
          <w:sz w:val="24"/>
          <w:szCs w:val="24"/>
          <w:highlight w:val="none"/>
          <w:lang w:val="en-US" w:eastAsia="zh-CN"/>
          <w14:textFill>
            <w14:solidFill>
              <w14:schemeClr w14:val="tx1"/>
            </w14:solidFill>
          </w14:textFill>
        </w:rPr>
        <w:t>的</w:t>
      </w:r>
      <w:r>
        <w:rPr>
          <w:rFonts w:hint="eastAsia" w:ascii="宋体" w:hAnsi="宋体" w:eastAsia="宋体" w:cs="宋体"/>
          <w:color w:val="000000" w:themeColor="text1"/>
          <w:sz w:val="24"/>
          <w:szCs w:val="24"/>
          <w:highlight w:val="none"/>
          <w14:textFill>
            <w14:solidFill>
              <w14:schemeClr w14:val="tx1"/>
            </w14:solidFill>
          </w14:textFill>
        </w:rPr>
        <w:t>，同时承担等价赔偿责任，构成犯罪的移交司法机关处理。</w:t>
      </w:r>
    </w:p>
    <w:p w14:paraId="454CB718">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更换下来的材料如铸铁阀门井盖、各类阀门、钢管、球墨管、水表箱、弯头、消火栓、边角废料等</w:t>
      </w:r>
      <w:r>
        <w:rPr>
          <w:rFonts w:hint="eastAsia" w:ascii="宋体" w:hAnsi="宋体" w:eastAsia="宋体" w:cs="宋体"/>
          <w:color w:val="000000" w:themeColor="text1"/>
          <w:sz w:val="24"/>
          <w:szCs w:val="24"/>
          <w:highlight w:val="none"/>
          <w:lang w:val="en-US" w:eastAsia="zh-CN"/>
          <w14:textFill>
            <w14:solidFill>
              <w14:schemeClr w14:val="tx1"/>
            </w14:solidFill>
          </w14:textFill>
        </w:rPr>
        <w:t>应</w:t>
      </w:r>
      <w:r>
        <w:rPr>
          <w:rFonts w:hint="eastAsia" w:ascii="宋体" w:hAnsi="宋体" w:eastAsia="宋体" w:cs="宋体"/>
          <w:color w:val="000000" w:themeColor="text1"/>
          <w:sz w:val="24"/>
          <w:szCs w:val="24"/>
          <w:highlight w:val="none"/>
          <w14:textFill>
            <w14:solidFill>
              <w14:schemeClr w14:val="tx1"/>
            </w14:solidFill>
          </w14:textFill>
        </w:rPr>
        <w:t>在</w:t>
      </w:r>
      <w:r>
        <w:rPr>
          <w:rFonts w:hint="eastAsia" w:ascii="宋体" w:hAnsi="宋体" w:eastAsia="宋体" w:cs="宋体"/>
          <w:color w:val="000000" w:themeColor="text1"/>
          <w:sz w:val="24"/>
          <w:szCs w:val="24"/>
          <w:highlight w:val="none"/>
          <w:lang w:val="en-US" w:eastAsia="zh-CN"/>
          <w14:textFill>
            <w14:solidFill>
              <w14:schemeClr w14:val="tx1"/>
            </w14:solidFill>
          </w14:textFill>
        </w:rPr>
        <w:t>拆卸后</w:t>
      </w:r>
      <w:r>
        <w:rPr>
          <w:rFonts w:hint="eastAsia" w:ascii="宋体" w:hAnsi="宋体" w:eastAsia="宋体" w:cs="宋体"/>
          <w:color w:val="000000" w:themeColor="text1"/>
          <w:sz w:val="24"/>
          <w:szCs w:val="24"/>
          <w:highlight w:val="none"/>
          <w14:textFill>
            <w14:solidFill>
              <w14:schemeClr w14:val="tx1"/>
            </w14:solidFill>
          </w14:textFill>
        </w:rPr>
        <w:t>7天内</w:t>
      </w:r>
      <w:r>
        <w:rPr>
          <w:rFonts w:hint="eastAsia" w:ascii="宋体" w:hAnsi="宋体" w:eastAsia="宋体" w:cs="宋体"/>
          <w:color w:val="000000" w:themeColor="text1"/>
          <w:sz w:val="24"/>
          <w:szCs w:val="24"/>
          <w:highlight w:val="none"/>
          <w:lang w:val="en-US" w:eastAsia="zh-CN"/>
          <w14:textFill>
            <w14:solidFill>
              <w14:schemeClr w14:val="tx1"/>
            </w14:solidFill>
          </w14:textFill>
        </w:rPr>
        <w:t>办理移交，由公司统一处理</w:t>
      </w:r>
      <w:r>
        <w:rPr>
          <w:rFonts w:hint="eastAsia" w:ascii="宋体" w:hAnsi="宋体" w:eastAsia="宋体" w:cs="宋体"/>
          <w:color w:val="000000" w:themeColor="text1"/>
          <w:sz w:val="24"/>
          <w:szCs w:val="24"/>
          <w:highlight w:val="none"/>
          <w14:textFill>
            <w14:solidFill>
              <w14:schemeClr w14:val="tx1"/>
            </w14:solidFill>
          </w14:textFill>
        </w:rPr>
        <w:t>，造成遗失班组承担赔偿责任；擅自处理的</w:t>
      </w:r>
      <w:r>
        <w:rPr>
          <w:rFonts w:hint="eastAsia" w:ascii="宋体" w:hAnsi="宋体" w:eastAsia="宋体" w:cs="宋体"/>
          <w:color w:val="000000" w:themeColor="text1"/>
          <w:sz w:val="24"/>
          <w:szCs w:val="24"/>
          <w:highlight w:val="none"/>
          <w:lang w:val="en-US" w:eastAsia="zh-CN"/>
          <w14:textFill>
            <w14:solidFill>
              <w14:schemeClr w14:val="tx1"/>
            </w14:solidFill>
          </w14:textFill>
        </w:rPr>
        <w:t>劳务班组年度评价为D类，并处</w:t>
      </w:r>
      <w:r>
        <w:rPr>
          <w:rFonts w:hint="eastAsia" w:ascii="宋体" w:hAnsi="宋体" w:eastAsia="宋体" w:cs="宋体"/>
          <w:color w:val="000000" w:themeColor="text1"/>
          <w:sz w:val="24"/>
          <w:szCs w:val="24"/>
          <w:highlight w:val="none"/>
          <w14:textFill>
            <w14:solidFill>
              <w14:schemeClr w14:val="tx1"/>
            </w14:solidFill>
          </w14:textFill>
        </w:rPr>
        <w:t>违法所得2倍以上的罚款，构成犯罪的移交司法机关处理。</w:t>
      </w:r>
    </w:p>
    <w:p w14:paraId="7A18BDEE">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各类各项工程资料延误送审的，一户一表一周内资料与结算未送达的，每个月抢维修项目资料结算次月中旬未送达的。</w:t>
      </w:r>
    </w:p>
    <w:p w14:paraId="616B84D2">
      <w:pPr>
        <w:keepNext w:val="0"/>
        <w:keepLines w:val="0"/>
        <w:pageBreakBefore w:val="0"/>
        <w:widowControl w:val="0"/>
        <w:numPr>
          <w:ilvl w:val="0"/>
          <w:numId w:val="10"/>
        </w:numPr>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因劳务班组自身原因引起欠薪纠纷的。</w:t>
      </w:r>
    </w:p>
    <w:p w14:paraId="2D6A5FAE">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班组在退出班组库后仍有未完工的项目，要继续落实各项目标任务，如在规定期限内未完成，给公司造成损失的追究相应的损失赔偿，并直接从工程款中扣除。</w:t>
      </w:r>
    </w:p>
    <w:p w14:paraId="648FC86D">
      <w:pPr>
        <w:pStyle w:val="2"/>
        <w:numPr>
          <w:ilvl w:val="0"/>
          <w:numId w:val="7"/>
        </w:numPr>
        <w:jc w:val="center"/>
        <w:rPr>
          <w:rFonts w:hint="eastAsia" w:ascii="宋体" w:hAnsi="宋体" w:eastAsia="宋体" w:cs="宋体"/>
          <w:color w:val="000000" w:themeColor="text1"/>
          <w:sz w:val="24"/>
          <w:szCs w:val="24"/>
          <w:highlight w:val="none"/>
          <w14:textFill>
            <w14:solidFill>
              <w14:schemeClr w14:val="tx1"/>
            </w14:solidFill>
          </w14:textFill>
        </w:rPr>
      </w:pPr>
      <w:bookmarkStart w:id="318" w:name="_Toc29670"/>
      <w:bookmarkStart w:id="319" w:name="_Toc23013"/>
      <w:bookmarkStart w:id="320" w:name="_Toc15524"/>
      <w:r>
        <w:rPr>
          <w:rFonts w:hint="eastAsia" w:ascii="宋体" w:hAnsi="宋体" w:eastAsia="宋体" w:cs="宋体"/>
          <w:color w:val="000000" w:themeColor="text1"/>
          <w:sz w:val="24"/>
          <w:szCs w:val="24"/>
          <w:highlight w:val="none"/>
          <w14:textFill>
            <w14:solidFill>
              <w14:schemeClr w14:val="tx1"/>
            </w14:solidFill>
          </w14:textFill>
        </w:rPr>
        <w:t>附则</w:t>
      </w:r>
      <w:bookmarkEnd w:id="318"/>
      <w:bookmarkEnd w:id="319"/>
      <w:bookmarkEnd w:id="320"/>
    </w:p>
    <w:p w14:paraId="7AED0867">
      <w:pPr>
        <w:rPr>
          <w:rFonts w:hint="eastAsia" w:ascii="宋体" w:hAnsi="宋体" w:eastAsia="宋体" w:cs="宋体"/>
          <w:color w:val="000000" w:themeColor="text1"/>
          <w:sz w:val="24"/>
          <w:szCs w:val="24"/>
          <w:highlight w:val="none"/>
          <w14:textFill>
            <w14:solidFill>
              <w14:schemeClr w14:val="tx1"/>
            </w14:solidFill>
          </w14:textFill>
        </w:rPr>
      </w:pPr>
    </w:p>
    <w:p w14:paraId="2BAFF5D4">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本综合评价管理办法由龙游华水水业、农村供水发展有限公司解释。</w:t>
      </w:r>
    </w:p>
    <w:p w14:paraId="3778EB9A">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如</w:t>
      </w:r>
      <w:r>
        <w:rPr>
          <w:rFonts w:hint="eastAsia" w:ascii="宋体" w:hAnsi="宋体" w:eastAsia="宋体" w:cs="宋体"/>
          <w:color w:val="000000" w:themeColor="text1"/>
          <w:sz w:val="24"/>
          <w:szCs w:val="24"/>
          <w:highlight w:val="none"/>
          <w14:textFill>
            <w14:solidFill>
              <w14:schemeClr w14:val="tx1"/>
            </w14:solidFill>
          </w14:textFill>
        </w:rPr>
        <w:t>劳务班组认为公司综合评价公示处理与事实不符的，可在每季度评价考核分数公布5天内向分管副经理提出书面意见，经调查核实后进行相应处理和反馈。</w:t>
      </w:r>
    </w:p>
    <w:p w14:paraId="37DAD6DA">
      <w:pPr>
        <w:keepNext w:val="0"/>
        <w:keepLines w:val="0"/>
        <w:pageBreakBefore w:val="0"/>
        <w:widowControl w:val="0"/>
        <w:numPr>
          <w:ilvl w:val="0"/>
          <w:numId w:val="8"/>
        </w:numPr>
        <w:tabs>
          <w:tab w:val="left" w:pos="0"/>
          <w:tab w:val="clear" w:pos="750"/>
        </w:tabs>
        <w:kinsoku/>
        <w:wordWrap/>
        <w:overflowPunct/>
        <w:topLinePunct w:val="0"/>
        <w:autoSpaceDE/>
        <w:autoSpaceDN/>
        <w:bidi w:val="0"/>
        <w:adjustRightInd/>
        <w:snapToGrid/>
        <w:spacing w:line="240" w:lineRule="auto"/>
        <w:ind w:left="-10" w:leftChars="0" w:firstLine="64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办法自发布之日起开始</w:t>
      </w:r>
      <w:r>
        <w:rPr>
          <w:rFonts w:hint="eastAsia" w:ascii="宋体" w:hAnsi="宋体" w:eastAsia="宋体" w:cs="宋体"/>
          <w:color w:val="000000" w:themeColor="text1"/>
          <w:sz w:val="24"/>
          <w:szCs w:val="24"/>
          <w:highlight w:val="none"/>
          <w:lang w:val="en-US" w:eastAsia="zh-CN"/>
          <w14:textFill>
            <w14:solidFill>
              <w14:schemeClr w14:val="tx1"/>
            </w14:solidFill>
          </w14:textFill>
        </w:rPr>
        <w:t>执行，原试行办法自该办法执行之日起自行废止</w:t>
      </w:r>
      <w:r>
        <w:rPr>
          <w:rFonts w:hint="eastAsia" w:ascii="宋体" w:hAnsi="宋体" w:eastAsia="宋体" w:cs="宋体"/>
          <w:color w:val="000000" w:themeColor="text1"/>
          <w:sz w:val="24"/>
          <w:szCs w:val="24"/>
          <w:highlight w:val="none"/>
          <w14:textFill>
            <w14:solidFill>
              <w14:schemeClr w14:val="tx1"/>
            </w14:solidFill>
          </w14:textFill>
        </w:rPr>
        <w:t>。</w:t>
      </w:r>
    </w:p>
    <w:p w14:paraId="2FF411C1">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龙游华水水业、农村供水发展有限公司</w:t>
      </w:r>
      <w:r>
        <w:rPr>
          <w:rFonts w:hint="eastAsia" w:ascii="宋体" w:hAnsi="宋体" w:eastAsia="宋体" w:cs="宋体"/>
          <w:color w:val="000000" w:themeColor="text1"/>
          <w:sz w:val="24"/>
          <w:szCs w:val="24"/>
          <w:highlight w:val="none"/>
          <w14:textFill>
            <w14:solidFill>
              <w14:schemeClr w14:val="tx1"/>
            </w14:solidFill>
          </w14:textFill>
        </w:rPr>
        <w:t>劳务承包施工班组考核细则</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7C1E252">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9C29FCA">
      <w:pPr>
        <w:spacing w:after="156" w:afterLines="50" w:line="720" w:lineRule="exact"/>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br w:type="page"/>
      </w:r>
      <w:r>
        <w:rPr>
          <w:rFonts w:hint="eastAsia" w:ascii="宋体" w:hAnsi="宋体" w:eastAsia="宋体" w:cs="宋体"/>
          <w:color w:val="000000" w:themeColor="text1"/>
          <w:sz w:val="24"/>
          <w:szCs w:val="24"/>
          <w:highlight w:val="none"/>
          <w:lang w:val="en-US" w:eastAsia="zh-CN"/>
          <w14:textFill>
            <w14:solidFill>
              <w14:schemeClr w14:val="tx1"/>
            </w14:solidFill>
          </w14:textFill>
        </w:rPr>
        <w:t>附件</w:t>
      </w:r>
    </w:p>
    <w:p w14:paraId="24B8F04C">
      <w:pPr>
        <w:keepNext w:val="0"/>
        <w:keepLines w:val="0"/>
        <w:pageBreakBefore w:val="0"/>
        <w:widowControl w:val="0"/>
        <w:kinsoku/>
        <w:wordWrap/>
        <w:overflowPunct/>
        <w:topLinePunct w:val="0"/>
        <w:autoSpaceDE/>
        <w:autoSpaceDN/>
        <w:bidi w:val="0"/>
        <w:adjustRightInd/>
        <w:snapToGrid/>
        <w:spacing w:after="156" w:afterLines="50" w:line="560" w:lineRule="exact"/>
        <w:jc w:val="center"/>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龙游华水水业、农村供水发展有限公司</w:t>
      </w:r>
    </w:p>
    <w:p w14:paraId="6FE18BA9">
      <w:pPr>
        <w:keepNext w:val="0"/>
        <w:keepLines w:val="0"/>
        <w:pageBreakBefore w:val="0"/>
        <w:widowControl w:val="0"/>
        <w:kinsoku/>
        <w:wordWrap/>
        <w:overflowPunct/>
        <w:topLinePunct w:val="0"/>
        <w:autoSpaceDE/>
        <w:autoSpaceDN/>
        <w:bidi w:val="0"/>
        <w:adjustRightInd/>
        <w:snapToGrid/>
        <w:spacing w:after="156" w:afterLines="50" w:line="56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劳务承包施工班组考核细则</w:t>
      </w:r>
    </w:p>
    <w:p w14:paraId="2FF8516A">
      <w:pPr>
        <w:spacing w:before="312" w:beforeLines="100" w:after="312" w:afterLines="10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1安全文明施工考核细则</w:t>
      </w:r>
    </w:p>
    <w:p w14:paraId="0650D7AB">
      <w:pPr>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 安全事故约定</w:t>
      </w:r>
    </w:p>
    <w:p w14:paraId="79D7DE6A">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1.1.1无安全事故发生，能主动消除安全隐患，不扣分；发生重伤事故及</w:t>
      </w:r>
      <w:r>
        <w:rPr>
          <w:rFonts w:hint="eastAsia" w:ascii="宋体" w:hAnsi="宋体" w:eastAsia="宋体" w:cs="宋体"/>
          <w:color w:val="000000" w:themeColor="text1"/>
          <w:sz w:val="24"/>
          <w:szCs w:val="24"/>
          <w:highlight w:val="none"/>
          <w:lang w:eastAsia="zh-CN"/>
          <w14:textFill>
            <w14:solidFill>
              <w14:schemeClr w14:val="tx1"/>
            </w14:solidFill>
          </w14:textFill>
        </w:rPr>
        <w:t>以上</w:t>
      </w:r>
      <w:r>
        <w:rPr>
          <w:rFonts w:hint="eastAsia" w:ascii="宋体" w:hAnsi="宋体" w:eastAsia="宋体" w:cs="宋体"/>
          <w:color w:val="000000" w:themeColor="text1"/>
          <w:sz w:val="24"/>
          <w:szCs w:val="24"/>
          <w:highlight w:val="none"/>
          <w14:textFill>
            <w14:solidFill>
              <w14:schemeClr w14:val="tx1"/>
            </w14:solidFill>
          </w14:textFill>
        </w:rPr>
        <w:t>安全事故，一票否决</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该班组年度考核评价为D类；每发生一起轻伤事故，扣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w:t>
      </w:r>
    </w:p>
    <w:p w14:paraId="191304D2">
      <w:pPr>
        <w:ind w:firstLine="64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安全文明施工</w:t>
      </w:r>
    </w:p>
    <w:p w14:paraId="4E9E9578">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  施工用电架设不规范，扣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分；未按要求三级配电，扣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分；电缆、配电箱、漏电保护器等破损或丧失使用功能，未及时更换的，扣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分/处；用电设备未重复接地的，扣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w:t>
      </w:r>
    </w:p>
    <w:p w14:paraId="361317BE">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 特殊工种作业的，未持证上岗的，每人次扣2分。</w:t>
      </w:r>
    </w:p>
    <w:p w14:paraId="35CC5E1F">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1.2.3 井室周围、开挖沟槽、坑（孔）洞等没有按规定及时回填并清理余土，或因不能回填存在安全隐患而未采取防护措施设置围挡及警示提示标志的，扣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分/处。</w:t>
      </w:r>
    </w:p>
    <w:p w14:paraId="7E490BD0">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1.2.4 施工现场路面未及时清理，或扬尘控制不到位造成扬尘，扣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w:t>
      </w:r>
    </w:p>
    <w:p w14:paraId="53D691D9">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1.2.5 路面土方回填不实、凹凸不平（±5cm），扣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w:t>
      </w:r>
    </w:p>
    <w:p w14:paraId="02BAFC21">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1.2.6 施工材料未按规定堆放整齐，施工材料、开挖料占道堆放未采取防护措施设置警示提示标志，扣2分</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处。</w:t>
      </w:r>
    </w:p>
    <w:p w14:paraId="42900816">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1.2.7 施工人员未按要求穿反光背心，施工人员未按要求正确佩戴安全帽，扣1分/人次。</w:t>
      </w:r>
    </w:p>
    <w:p w14:paraId="23EBD595">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1.2.8 施工机械作业半径没有设防护措施，或未规定设警示牌、隔离锥、警示带的，扣1分。</w:t>
      </w:r>
    </w:p>
    <w:p w14:paraId="75617BC9">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1.2.9 施工完毕后未做到工完料尽场地清的，扣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r>
        <w:rPr>
          <w:rFonts w:hint="eastAsia" w:ascii="宋体" w:hAnsi="宋体" w:eastAsia="宋体" w:cs="宋体"/>
          <w:color w:val="000000" w:themeColor="text1"/>
          <w:sz w:val="24"/>
          <w:szCs w:val="24"/>
          <w:highlight w:val="none"/>
          <w:lang w:val="en-US" w:eastAsia="zh-CN"/>
          <w14:textFill>
            <w14:solidFill>
              <w14:schemeClr w14:val="tx1"/>
            </w14:solidFill>
          </w14:textFill>
        </w:rPr>
        <w:t>/处</w:t>
      </w:r>
      <w:r>
        <w:rPr>
          <w:rFonts w:hint="eastAsia" w:ascii="宋体" w:hAnsi="宋体" w:eastAsia="宋体" w:cs="宋体"/>
          <w:color w:val="000000" w:themeColor="text1"/>
          <w:sz w:val="24"/>
          <w:szCs w:val="24"/>
          <w:highlight w:val="none"/>
          <w14:textFill>
            <w14:solidFill>
              <w14:schemeClr w14:val="tx1"/>
            </w14:solidFill>
          </w14:textFill>
        </w:rPr>
        <w:t>。</w:t>
      </w:r>
    </w:p>
    <w:p w14:paraId="1B2746C0">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1.2.10 施工现场与车道要求设置隔离而未设置，扣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w:t>
      </w:r>
    </w:p>
    <w:p w14:paraId="5A50A001">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1.2.11 夜间未</w:t>
      </w:r>
      <w:r>
        <w:rPr>
          <w:rFonts w:hint="eastAsia" w:ascii="宋体" w:hAnsi="宋体" w:eastAsia="宋体" w:cs="宋体"/>
          <w:color w:val="000000" w:themeColor="text1"/>
          <w:sz w:val="24"/>
          <w:szCs w:val="24"/>
          <w:highlight w:val="none"/>
          <w:lang w:val="en-US" w:eastAsia="zh-CN"/>
          <w14:textFill>
            <w14:solidFill>
              <w14:schemeClr w14:val="tx1"/>
            </w14:solidFill>
          </w14:textFill>
        </w:rPr>
        <w:t>按要求</w:t>
      </w:r>
      <w:r>
        <w:rPr>
          <w:rFonts w:hint="eastAsia" w:ascii="宋体" w:hAnsi="宋体" w:eastAsia="宋体" w:cs="宋体"/>
          <w:color w:val="000000" w:themeColor="text1"/>
          <w:sz w:val="24"/>
          <w:szCs w:val="24"/>
          <w:highlight w:val="none"/>
          <w14:textFill>
            <w14:solidFill>
              <w14:schemeClr w14:val="tx1"/>
            </w14:solidFill>
          </w14:textFill>
        </w:rPr>
        <w:t>设警示灯的，扣1分</w:t>
      </w:r>
      <w:r>
        <w:rPr>
          <w:rFonts w:hint="eastAsia" w:ascii="宋体" w:hAnsi="宋体" w:eastAsia="宋体" w:cs="宋体"/>
          <w:color w:val="000000" w:themeColor="text1"/>
          <w:sz w:val="24"/>
          <w:szCs w:val="24"/>
          <w:highlight w:val="none"/>
          <w:lang w:val="en-US" w:eastAsia="zh-CN"/>
          <w14:textFill>
            <w14:solidFill>
              <w14:schemeClr w14:val="tx1"/>
            </w14:solidFill>
          </w14:textFill>
        </w:rPr>
        <w:t>/处</w:t>
      </w:r>
      <w:r>
        <w:rPr>
          <w:rFonts w:hint="eastAsia" w:ascii="宋体" w:hAnsi="宋体" w:eastAsia="宋体" w:cs="宋体"/>
          <w:color w:val="000000" w:themeColor="text1"/>
          <w:sz w:val="24"/>
          <w:szCs w:val="24"/>
          <w:highlight w:val="none"/>
          <w14:textFill>
            <w14:solidFill>
              <w14:schemeClr w14:val="tx1"/>
            </w14:solidFill>
          </w14:textFill>
        </w:rPr>
        <w:t>。</w:t>
      </w:r>
    </w:p>
    <w:p w14:paraId="26F76D12">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1.2.12 穿越人行路口，未搭设便桥和警示标志的，扣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p>
    <w:p w14:paraId="1FEAD847">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1.2.13 没有对地下其它管线和构筑物采取保护措施，野蛮施工的，扣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w:t>
      </w:r>
    </w:p>
    <w:p w14:paraId="35484DE4">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1.2.14 沟槽开挖未按规范要求根据土质、放坡、堆土的，扣1分。</w:t>
      </w:r>
    </w:p>
    <w:p w14:paraId="4D0FD888">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1.2.15 脚手架搭设未编制专项方案、未经验收合格投入使用，扣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w:t>
      </w:r>
    </w:p>
    <w:p w14:paraId="614564F6">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1.2.16 高空作业人员未正确穿戴防护用品，扣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分/人次。</w:t>
      </w:r>
    </w:p>
    <w:p w14:paraId="0A1E0514">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1.2.17 使用不合格电动机械和工具，扣2分。</w:t>
      </w:r>
    </w:p>
    <w:p w14:paraId="761E5177">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1.2.18 饮酒后施工或施工期间嬉戏打闹，扣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分/人次。</w:t>
      </w:r>
    </w:p>
    <w:p w14:paraId="4BD4E005">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w:t>
      </w:r>
      <w:r>
        <w:rPr>
          <w:rFonts w:hint="eastAsia" w:ascii="宋体" w:hAnsi="宋体" w:eastAsia="宋体" w:cs="宋体"/>
          <w:color w:val="000000" w:themeColor="text1"/>
          <w:sz w:val="24"/>
          <w:szCs w:val="24"/>
          <w:highlight w:val="none"/>
          <w:lang w:val="en-US" w:eastAsia="zh-CN"/>
          <w14:textFill>
            <w14:solidFill>
              <w14:schemeClr w14:val="tx1"/>
            </w14:solidFill>
          </w14:textFill>
        </w:rPr>
        <w:t>19</w:t>
      </w:r>
      <w:r>
        <w:rPr>
          <w:rFonts w:hint="eastAsia" w:ascii="宋体" w:hAnsi="宋体" w:eastAsia="宋体" w:cs="宋体"/>
          <w:color w:val="000000" w:themeColor="text1"/>
          <w:sz w:val="24"/>
          <w:szCs w:val="24"/>
          <w:highlight w:val="none"/>
          <w14:textFill>
            <w14:solidFill>
              <w14:schemeClr w14:val="tx1"/>
            </w14:solidFill>
          </w14:textFill>
        </w:rPr>
        <w:t xml:space="preserve"> 对检查时发现安全隐患，未在规定期限落实整改到位上报回复，扣2分。拒不整改的，劳务施工班组年度组别评价为D类。</w:t>
      </w:r>
    </w:p>
    <w:p w14:paraId="4800361B">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w:t>
      </w:r>
      <w:r>
        <w:rPr>
          <w:rFonts w:hint="eastAsia" w:ascii="宋体" w:hAnsi="宋体" w:eastAsia="宋体" w:cs="宋体"/>
          <w:color w:val="000000" w:themeColor="text1"/>
          <w:sz w:val="24"/>
          <w:szCs w:val="24"/>
          <w:highlight w:val="none"/>
          <w:lang w:val="en-US" w:eastAsia="zh-CN"/>
          <w14:textFill>
            <w14:solidFill>
              <w14:schemeClr w14:val="tx1"/>
            </w14:solidFill>
          </w14:textFill>
        </w:rPr>
        <w:t>0</w:t>
      </w:r>
      <w:r>
        <w:rPr>
          <w:rFonts w:hint="eastAsia" w:ascii="宋体" w:hAnsi="宋体" w:eastAsia="宋体" w:cs="宋体"/>
          <w:color w:val="000000" w:themeColor="text1"/>
          <w:sz w:val="24"/>
          <w:szCs w:val="24"/>
          <w:highlight w:val="none"/>
          <w14:textFill>
            <w14:solidFill>
              <w14:schemeClr w14:val="tx1"/>
            </w14:solidFill>
          </w14:textFill>
        </w:rPr>
        <w:t xml:space="preserve"> 井室内设备必须保持清洁完好，表面存在污垢，扣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分/处；无法正常使用，扣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分/处。</w:t>
      </w:r>
    </w:p>
    <w:p w14:paraId="338B85E4">
      <w:pPr>
        <w:ind w:firstLine="64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1.2.21 其他违反安全文明施工规范等行为的，扣1-10分。</w:t>
      </w:r>
    </w:p>
    <w:p w14:paraId="6FBF7F4F">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备注：扣分为累计扣分，扣完为止。</w:t>
      </w:r>
    </w:p>
    <w:p w14:paraId="01F8C1E9">
      <w:pPr>
        <w:rPr>
          <w:rFonts w:hint="eastAsia" w:ascii="宋体" w:hAnsi="宋体" w:eastAsia="宋体" w:cs="宋体"/>
          <w:color w:val="000000" w:themeColor="text1"/>
          <w:sz w:val="24"/>
          <w:szCs w:val="24"/>
          <w:highlight w:val="none"/>
          <w14:textFill>
            <w14:solidFill>
              <w14:schemeClr w14:val="tx1"/>
            </w14:solidFill>
          </w14:textFill>
        </w:rPr>
      </w:pPr>
    </w:p>
    <w:p w14:paraId="3FBFE84C">
      <w:pPr>
        <w:rPr>
          <w:rFonts w:hint="eastAsia" w:ascii="宋体" w:hAnsi="宋体" w:eastAsia="宋体" w:cs="宋体"/>
          <w:color w:val="000000" w:themeColor="text1"/>
          <w:sz w:val="24"/>
          <w:szCs w:val="24"/>
          <w:highlight w:val="none"/>
          <w14:textFill>
            <w14:solidFill>
              <w14:schemeClr w14:val="tx1"/>
            </w14:solidFill>
          </w14:textFill>
        </w:rPr>
        <w:sectPr>
          <w:footerReference r:id="rId8" w:type="default"/>
          <w:pgSz w:w="11906" w:h="16838"/>
          <w:pgMar w:top="1440" w:right="1797" w:bottom="1440" w:left="1797" w:header="851" w:footer="992" w:gutter="0"/>
          <w:pgNumType w:fmt="decimal"/>
          <w:cols w:space="720" w:num="1"/>
          <w:docGrid w:type="lines" w:linePitch="312" w:charSpace="0"/>
        </w:sectPr>
      </w:pPr>
    </w:p>
    <w:p w14:paraId="212C02C0">
      <w:pPr>
        <w:spacing w:before="312" w:beforeLines="100" w:after="312" w:afterLines="10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质量控制考核细则</w:t>
      </w:r>
    </w:p>
    <w:p w14:paraId="72F47AA5">
      <w:pPr>
        <w:ind w:firstLine="64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2.1 质量事故约定</w:t>
      </w:r>
    </w:p>
    <w:p w14:paraId="78C26D05">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发生质量问题</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发生一般质量问题，经返工处理能满足设计要求的扣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分；发生一般质量问题，经返工处理不能满足设计要求，扣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14:textFill>
            <w14:solidFill>
              <w14:schemeClr w14:val="tx1"/>
            </w14:solidFill>
          </w14:textFill>
        </w:rPr>
        <w:t>分，同时劳务承包施工班组承担一切经济损失；发生严重及以上质量问题一票否决，年度考核评价为D类，同时劳务承包施工班组承担一切经济损失。</w:t>
      </w:r>
    </w:p>
    <w:p w14:paraId="3418D1F8">
      <w:pPr>
        <w:ind w:firstLine="64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2.2 质量控制</w:t>
      </w:r>
    </w:p>
    <w:p w14:paraId="10ADA9CB">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 模板未按要求及时拆除或拆除不彻底，扣1分/处，并要求期限内整改。</w:t>
      </w:r>
    </w:p>
    <w:p w14:paraId="204CB431">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2.2.2 井室收口、内外粉刷、勾缝等不符合设计及规范要求，扣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分/处，并要求期限内整改。</w:t>
      </w:r>
    </w:p>
    <w:p w14:paraId="699CCC40">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2.2.3 井室未按设计要求作防水处理，扣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分/处，并要求期限内整改。</w:t>
      </w:r>
    </w:p>
    <w:p w14:paraId="37A2CECB">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2.2.4 未按要求安装爬梯或支墩的，扣1分/处，并要求期限内整改。</w:t>
      </w:r>
    </w:p>
    <w:p w14:paraId="2DBC46A5">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2.2.5 井盖标高不合格的，扣1分/处，并要求期限内整改。</w:t>
      </w:r>
    </w:p>
    <w:p w14:paraId="36383D53">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2.2.6 砂浆饱满度不够的，扣1分/处，并要求期限内整改。</w:t>
      </w:r>
    </w:p>
    <w:p w14:paraId="2439E5DA">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2.2.7 水表、阀门等设备安装与设计或规范不相符，扣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分/处，并要求期限内整改。</w:t>
      </w:r>
    </w:p>
    <w:p w14:paraId="7F49CF46">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2.2.8 井室结构断面尺寸与设计不相符，扣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分/处，并要求期限内整改。</w:t>
      </w:r>
    </w:p>
    <w:p w14:paraId="0386FB77">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2.2.9 管道安装未及时清理管道中杂物的，扣1分/处，并要求期限内整改。</w:t>
      </w:r>
    </w:p>
    <w:p w14:paraId="0D6DA07B">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2.2.10 管道暂停安装时，两端未封堵的，扣1分/处，并要求期限内整改。</w:t>
      </w:r>
    </w:p>
    <w:p w14:paraId="0FCBBB4F">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2.2.11 钢管内外防腐不满足设计或规范要求，扣2分/处，并要求期限内整改。</w:t>
      </w:r>
    </w:p>
    <w:p w14:paraId="5424AE89">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2.2.12 法兰、钢管等金属构件焊接未满焊、外观粗糙扣2分，并要求期限内整改；需检测的焊接部位，未检测或经检测不合格扣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分/处，并要求期限内整改。</w:t>
      </w:r>
    </w:p>
    <w:p w14:paraId="4AC37E8D">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2.2.13 其他未按施工规范及图纸施工的，扣2分/处，并要求期限内整改。</w:t>
      </w:r>
    </w:p>
    <w:p w14:paraId="5600898C">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2.2.14 工序验收不合格，扣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分/道。</w:t>
      </w:r>
    </w:p>
    <w:p w14:paraId="1F4928B9">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2.2.15 保修期内出现质量问题未在规定期限内修复、或拒不修复的，劳务施工班组年度组别评价为D类。</w:t>
      </w:r>
    </w:p>
    <w:p w14:paraId="41A079CF">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2.2.16 对检查时发现质量问题，未在规定期限落实整改到位、上报回复，扣2分。拒不整改的，劳务施工班组年度组别评价为D类。</w:t>
      </w:r>
    </w:p>
    <w:p w14:paraId="0906CB5D">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2.2.17 管道试压弄虚做假的，劳务施工班组年度组别评价为D类。</w:t>
      </w:r>
    </w:p>
    <w:p w14:paraId="5DBD155E">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2.2.18 土方回填使用材料与设计或规范不相符，路面部位、井室外围回填压实度达不到设计要求，扣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分/项。</w:t>
      </w:r>
    </w:p>
    <w:p w14:paraId="3B618742">
      <w:pPr>
        <w:ind w:firstLine="64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2.2.</w:t>
      </w:r>
      <w:r>
        <w:rPr>
          <w:rFonts w:hint="eastAsia" w:ascii="宋体" w:hAnsi="宋体" w:eastAsia="宋体" w:cs="宋体"/>
          <w:color w:val="000000" w:themeColor="text1"/>
          <w:sz w:val="24"/>
          <w:szCs w:val="24"/>
          <w:highlight w:val="none"/>
          <w:lang w:val="en-US" w:eastAsia="zh-CN"/>
          <w14:textFill>
            <w14:solidFill>
              <w14:schemeClr w14:val="tx1"/>
            </w14:solidFill>
          </w14:textFill>
        </w:rPr>
        <w:t>19</w:t>
      </w:r>
      <w:r>
        <w:rPr>
          <w:rFonts w:hint="eastAsia" w:ascii="宋体" w:hAnsi="宋体" w:eastAsia="宋体" w:cs="宋体"/>
          <w:color w:val="000000" w:themeColor="text1"/>
          <w:sz w:val="24"/>
          <w:szCs w:val="24"/>
          <w:highlight w:val="none"/>
          <w14:textFill>
            <w14:solidFill>
              <w14:schemeClr w14:val="tx1"/>
            </w14:solidFill>
          </w14:textFill>
        </w:rPr>
        <w:t xml:space="preserve"> 劳务施工班组擅自更换施工材料、降低材料质量等级，年度组别评价为D类，由此产生的相关费用和责任由劳务施工班组承担，给公司造成损失的由施工班组承担等价赔偿。</w:t>
      </w:r>
    </w:p>
    <w:p w14:paraId="1C4B4E35">
      <w:pPr>
        <w:ind w:firstLine="64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2.2.20 其他违反质量规范等要求的，扣1-10分。</w:t>
      </w:r>
    </w:p>
    <w:p w14:paraId="687D7A5D">
      <w:pPr>
        <w:ind w:firstLine="640"/>
        <w:rPr>
          <w:rFonts w:hint="eastAsia" w:ascii="宋体" w:hAnsi="宋体" w:eastAsia="宋体" w:cs="宋体"/>
          <w:color w:val="000000" w:themeColor="text1"/>
          <w:sz w:val="24"/>
          <w:szCs w:val="24"/>
          <w:highlight w:val="none"/>
          <w:lang w:eastAsia="zh-CN"/>
          <w14:textFill>
            <w14:solidFill>
              <w14:schemeClr w14:val="tx1"/>
            </w14:solidFill>
          </w14:textFill>
        </w:rPr>
        <w:sectPr>
          <w:headerReference r:id="rId9" w:type="default"/>
          <w:footerReference r:id="rId10" w:type="default"/>
          <w:pgSz w:w="11906" w:h="16838"/>
          <w:pgMar w:top="1440" w:right="1797" w:bottom="1440" w:left="1797" w:header="851" w:footer="992" w:gutter="0"/>
          <w:pgNumType w:fmt="decimal"/>
          <w:cols w:space="720" w:num="1"/>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备注：扣分为累计扣分，扣完</w:t>
      </w:r>
      <w:r>
        <w:rPr>
          <w:rFonts w:hint="eastAsia" w:ascii="宋体" w:hAnsi="宋体" w:eastAsia="宋体" w:cs="宋体"/>
          <w:color w:val="000000" w:themeColor="text1"/>
          <w:sz w:val="24"/>
          <w:szCs w:val="24"/>
          <w:highlight w:val="none"/>
          <w:lang w:eastAsia="zh-CN"/>
          <w14:textFill>
            <w14:solidFill>
              <w14:schemeClr w14:val="tx1"/>
            </w14:solidFill>
          </w14:textFill>
        </w:rPr>
        <w:t>为止</w:t>
      </w:r>
    </w:p>
    <w:p w14:paraId="15188139">
      <w:pPr>
        <w:spacing w:before="312" w:beforeLines="100" w:after="312" w:afterLines="10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劳务施工班组成本控制</w:t>
      </w:r>
      <w:r>
        <w:rPr>
          <w:rFonts w:hint="eastAsia" w:ascii="宋体" w:hAnsi="宋体" w:eastAsia="宋体" w:cs="宋体"/>
          <w:color w:val="000000" w:themeColor="text1"/>
          <w:sz w:val="24"/>
          <w:szCs w:val="24"/>
          <w:highlight w:val="none"/>
          <w:lang w:val="en-US" w:eastAsia="zh-CN"/>
          <w14:textFill>
            <w14:solidFill>
              <w14:schemeClr w14:val="tx1"/>
            </w14:solidFill>
          </w14:textFill>
        </w:rPr>
        <w:t>考核</w:t>
      </w:r>
      <w:r>
        <w:rPr>
          <w:rFonts w:hint="eastAsia" w:ascii="宋体" w:hAnsi="宋体" w:eastAsia="宋体" w:cs="宋体"/>
          <w:color w:val="000000" w:themeColor="text1"/>
          <w:sz w:val="24"/>
          <w:szCs w:val="24"/>
          <w:highlight w:val="none"/>
          <w14:textFill>
            <w14:solidFill>
              <w14:schemeClr w14:val="tx1"/>
            </w14:solidFill>
          </w14:textFill>
        </w:rPr>
        <w:t>细则</w:t>
      </w:r>
    </w:p>
    <w:p w14:paraId="5C9B6E29">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 xml:space="preserve"> 材料堆放不合理，未做好防护、保护措施，造成材料破损或损坏扣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w:t>
      </w:r>
    </w:p>
    <w:p w14:paraId="646D08B4">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w:t>
      </w:r>
      <w:r>
        <w:rPr>
          <w:rFonts w:hint="eastAsia" w:ascii="宋体" w:hAnsi="宋体" w:eastAsia="宋体" w:cs="宋体"/>
          <w:color w:val="000000" w:themeColor="text1"/>
          <w:sz w:val="24"/>
          <w:szCs w:val="24"/>
          <w:highlight w:val="none"/>
          <w14:textFill>
            <w14:solidFill>
              <w14:schemeClr w14:val="tx1"/>
            </w14:solidFill>
          </w14:textFill>
        </w:rPr>
        <w:t xml:space="preserve"> 材料领用与实际用量应相符，多余材料应在项目完工后30日内办理退还，未在规定期限内办理退还的扣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分，每延迟一天加扣1分；领用材料不能挪作他用，经发现有挪用或侵占行为，劳务承包施工班组年度考核评价为D类，同时承担等价赔偿责任，构成犯罪的移交司法机关处理。</w:t>
      </w:r>
    </w:p>
    <w:p w14:paraId="35D7B631">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3.3</w:t>
      </w:r>
      <w:r>
        <w:rPr>
          <w:rFonts w:hint="eastAsia" w:ascii="宋体" w:hAnsi="宋体" w:eastAsia="宋体" w:cs="宋体"/>
          <w:color w:val="000000" w:themeColor="text1"/>
          <w:sz w:val="24"/>
          <w:szCs w:val="24"/>
          <w:highlight w:val="none"/>
          <w14:textFill>
            <w14:solidFill>
              <w14:schemeClr w14:val="tx1"/>
            </w14:solidFill>
          </w14:textFill>
        </w:rPr>
        <w:t xml:space="preserve"> 材料从领用后班组应做好看管工作，造成材料遗失扣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分/次，同时承担等价赔偿责任。</w:t>
      </w:r>
    </w:p>
    <w:p w14:paraId="1E5B4F73">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3.4</w:t>
      </w:r>
      <w:r>
        <w:rPr>
          <w:rFonts w:hint="eastAsia" w:ascii="宋体" w:hAnsi="宋体" w:eastAsia="宋体" w:cs="宋体"/>
          <w:color w:val="000000" w:themeColor="text1"/>
          <w:sz w:val="24"/>
          <w:szCs w:val="24"/>
          <w:highlight w:val="none"/>
          <w14:textFill>
            <w14:solidFill>
              <w14:schemeClr w14:val="tx1"/>
            </w14:solidFill>
          </w14:textFill>
        </w:rPr>
        <w:t xml:space="preserve"> 更换下来的材料如铸铁阀门井盖、各类阀门、钢管、球墨管、水表箱、弯头、消火栓、边角废料等</w:t>
      </w:r>
      <w:r>
        <w:rPr>
          <w:rFonts w:hint="eastAsia" w:ascii="宋体" w:hAnsi="宋体" w:eastAsia="宋体" w:cs="宋体"/>
          <w:color w:val="000000" w:themeColor="text1"/>
          <w:sz w:val="24"/>
          <w:szCs w:val="24"/>
          <w:highlight w:val="none"/>
          <w:lang w:val="en-US" w:eastAsia="zh-CN"/>
          <w14:textFill>
            <w14:solidFill>
              <w14:schemeClr w14:val="tx1"/>
            </w14:solidFill>
          </w14:textFill>
        </w:rPr>
        <w:t>应</w:t>
      </w:r>
      <w:r>
        <w:rPr>
          <w:rFonts w:hint="eastAsia" w:ascii="宋体" w:hAnsi="宋体" w:eastAsia="宋体" w:cs="宋体"/>
          <w:color w:val="000000" w:themeColor="text1"/>
          <w:sz w:val="24"/>
          <w:szCs w:val="24"/>
          <w:highlight w:val="none"/>
          <w14:textFill>
            <w14:solidFill>
              <w14:schemeClr w14:val="tx1"/>
            </w14:solidFill>
          </w14:textFill>
        </w:rPr>
        <w:t>在完工后7天内办理</w:t>
      </w:r>
      <w:r>
        <w:rPr>
          <w:rFonts w:hint="eastAsia" w:ascii="宋体" w:hAnsi="宋体" w:eastAsia="宋体" w:cs="宋体"/>
          <w:color w:val="000000" w:themeColor="text1"/>
          <w:sz w:val="24"/>
          <w:szCs w:val="24"/>
          <w:highlight w:val="none"/>
          <w:lang w:val="en-US" w:eastAsia="zh-CN"/>
          <w14:textFill>
            <w14:solidFill>
              <w14:schemeClr w14:val="tx1"/>
            </w14:solidFill>
          </w14:textFill>
        </w:rPr>
        <w:t>移交，由公司统一处理</w:t>
      </w:r>
      <w:r>
        <w:rPr>
          <w:rFonts w:hint="eastAsia" w:ascii="宋体" w:hAnsi="宋体" w:eastAsia="宋体" w:cs="宋体"/>
          <w:color w:val="000000" w:themeColor="text1"/>
          <w:sz w:val="24"/>
          <w:szCs w:val="24"/>
          <w:highlight w:val="none"/>
          <w14:textFill>
            <w14:solidFill>
              <w14:schemeClr w14:val="tx1"/>
            </w14:solidFill>
          </w14:textFill>
        </w:rPr>
        <w:t>，如未在规定期限内办理</w:t>
      </w:r>
      <w:r>
        <w:rPr>
          <w:rFonts w:hint="eastAsia" w:ascii="宋体" w:hAnsi="宋体" w:eastAsia="宋体" w:cs="宋体"/>
          <w:color w:val="000000" w:themeColor="text1"/>
          <w:sz w:val="24"/>
          <w:szCs w:val="24"/>
          <w:highlight w:val="none"/>
          <w:lang w:val="en-US" w:eastAsia="zh-CN"/>
          <w14:textFill>
            <w14:solidFill>
              <w14:schemeClr w14:val="tx1"/>
            </w14:solidFill>
          </w14:textFill>
        </w:rPr>
        <w:t>移交</w:t>
      </w:r>
      <w:r>
        <w:rPr>
          <w:rFonts w:hint="eastAsia" w:ascii="宋体" w:hAnsi="宋体" w:eastAsia="宋体" w:cs="宋体"/>
          <w:color w:val="000000" w:themeColor="text1"/>
          <w:sz w:val="24"/>
          <w:szCs w:val="24"/>
          <w:highlight w:val="none"/>
          <w14:textFill>
            <w14:solidFill>
              <w14:schemeClr w14:val="tx1"/>
            </w14:solidFill>
          </w14:textFill>
        </w:rPr>
        <w:t>的扣10分；造成遗失班组承担赔偿责任；擅自处理的劳务承包施工班组年度组别评价为D类，处违法所得2倍以上的罚款，构成犯罪的移交司法机关处理。</w:t>
      </w:r>
    </w:p>
    <w:p w14:paraId="184B5D61">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3.5</w:t>
      </w:r>
      <w:r>
        <w:rPr>
          <w:rFonts w:hint="eastAsia" w:ascii="宋体" w:hAnsi="宋体" w:eastAsia="宋体" w:cs="宋体"/>
          <w:color w:val="000000" w:themeColor="text1"/>
          <w:sz w:val="24"/>
          <w:szCs w:val="24"/>
          <w:highlight w:val="none"/>
          <w14:textFill>
            <w14:solidFill>
              <w14:schemeClr w14:val="tx1"/>
            </w14:solidFill>
          </w14:textFill>
        </w:rPr>
        <w:t xml:space="preserve"> 甲供材料浪费率应控制在2%以内，每增加0.5%扣</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分；浪费率超过5%，每增加0.5%扣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0分，超出部分材料费由劳务承包施工班组承担。</w:t>
      </w:r>
    </w:p>
    <w:p w14:paraId="0268A9F6">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3.6</w:t>
      </w:r>
      <w:r>
        <w:rPr>
          <w:rFonts w:hint="eastAsia" w:ascii="宋体" w:hAnsi="宋体" w:eastAsia="宋体" w:cs="宋体"/>
          <w:color w:val="000000" w:themeColor="text1"/>
          <w:sz w:val="24"/>
          <w:szCs w:val="24"/>
          <w:highlight w:val="none"/>
          <w14:textFill>
            <w14:solidFill>
              <w14:schemeClr w14:val="tx1"/>
            </w14:solidFill>
          </w14:textFill>
        </w:rPr>
        <w:t xml:space="preserve"> 资料整理应与施工进度同步，与现场实际情况相符，因隐蔽工程未及时签证造成工程量无法计量结算，扣10分/处，同时损失由班组承担。</w:t>
      </w:r>
    </w:p>
    <w:p w14:paraId="2D93260A">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3.7</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一户一表、抢维修及改造项目</w:t>
      </w:r>
      <w:r>
        <w:rPr>
          <w:rFonts w:hint="eastAsia" w:ascii="宋体" w:hAnsi="宋体" w:eastAsia="宋体" w:cs="宋体"/>
          <w:color w:val="000000" w:themeColor="text1"/>
          <w:sz w:val="24"/>
          <w:szCs w:val="24"/>
          <w:highlight w:val="none"/>
          <w14:textFill>
            <w14:solidFill>
              <w14:schemeClr w14:val="tx1"/>
            </w14:solidFill>
          </w14:textFill>
        </w:rPr>
        <w:t>月度工程款申报由劳务承包施工班组负责提供资料给公司项目负责人，已具备工程款申报条件但因资料未及时提供造成申报延迟，</w:t>
      </w:r>
      <w:r>
        <w:rPr>
          <w:rFonts w:hint="eastAsia" w:ascii="宋体" w:hAnsi="宋体" w:eastAsia="宋体" w:cs="宋体"/>
          <w:color w:val="000000" w:themeColor="text1"/>
          <w:sz w:val="24"/>
          <w:szCs w:val="24"/>
          <w:highlight w:val="none"/>
          <w:lang w:eastAsia="zh-CN"/>
          <w14:textFill>
            <w14:solidFill>
              <w14:schemeClr w14:val="tx1"/>
            </w14:solidFill>
          </w14:textFill>
        </w:rPr>
        <w:t>每次</w:t>
      </w:r>
      <w:r>
        <w:rPr>
          <w:rFonts w:hint="eastAsia" w:ascii="宋体" w:hAnsi="宋体" w:eastAsia="宋体" w:cs="宋体"/>
          <w:color w:val="000000" w:themeColor="text1"/>
          <w:sz w:val="24"/>
          <w:szCs w:val="24"/>
          <w:highlight w:val="none"/>
          <w14:textFill>
            <w14:solidFill>
              <w14:schemeClr w14:val="tx1"/>
            </w14:solidFill>
          </w14:textFill>
        </w:rPr>
        <w:t>扣</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分。</w:t>
      </w:r>
    </w:p>
    <w:p w14:paraId="7036E0E4">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3.8</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lang w:eastAsia="zh-CN"/>
          <w14:textFill>
            <w14:solidFill>
              <w14:schemeClr w14:val="tx1"/>
            </w14:solidFill>
          </w14:textFill>
        </w:rPr>
        <w:t>单独</w:t>
      </w:r>
      <w:r>
        <w:rPr>
          <w:rFonts w:hint="eastAsia" w:ascii="宋体" w:hAnsi="宋体" w:eastAsia="宋体" w:cs="宋体"/>
          <w:color w:val="000000" w:themeColor="text1"/>
          <w:sz w:val="24"/>
          <w:szCs w:val="24"/>
          <w:highlight w:val="none"/>
          <w14:textFill>
            <w14:solidFill>
              <w14:schemeClr w14:val="tx1"/>
            </w14:solidFill>
          </w14:textFill>
        </w:rPr>
        <w:t>项目竣（完）工验收后3个月内应完成资料送审，结算审价应自竣（完）工之日起6个</w:t>
      </w:r>
      <w:r>
        <w:rPr>
          <w:rFonts w:hint="eastAsia" w:ascii="宋体" w:hAnsi="宋体" w:eastAsia="宋体" w:cs="宋体"/>
          <w:color w:val="000000" w:themeColor="text1"/>
          <w:sz w:val="24"/>
          <w:szCs w:val="24"/>
          <w:highlight w:val="none"/>
          <w:lang w:val="en-US" w:eastAsia="zh-CN"/>
          <w14:textFill>
            <w14:solidFill>
              <w14:schemeClr w14:val="tx1"/>
            </w14:solidFill>
          </w14:textFill>
        </w:rPr>
        <w:t>月</w:t>
      </w:r>
      <w:r>
        <w:rPr>
          <w:rFonts w:hint="eastAsia" w:ascii="宋体" w:hAnsi="宋体" w:eastAsia="宋体" w:cs="宋体"/>
          <w:color w:val="000000" w:themeColor="text1"/>
          <w:sz w:val="24"/>
          <w:szCs w:val="24"/>
          <w:highlight w:val="none"/>
          <w14:textFill>
            <w14:solidFill>
              <w14:schemeClr w14:val="tx1"/>
            </w14:solidFill>
          </w14:textFill>
        </w:rPr>
        <w:t>内完成，与审价部门对接工作由劳务施工班组协助配合公司完成。无特殊原因未在规定期限内完成审价，是因劳务承包施工班组配合不到位造成，每延迟1天扣5分；延迟20天后仍未完成结算审价的，劳务承包施工班组年度评价组别为C类。</w:t>
      </w:r>
    </w:p>
    <w:p w14:paraId="67263364">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3.9 运至施工现场的材料，应在5内将供货单移交仓库办理入库，超出1天扣2分。</w:t>
      </w:r>
    </w:p>
    <w:p w14:paraId="31CEAB28">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3.10 领用材料必须办理领料单，未办理直接仓库领料的，扣2分。</w:t>
      </w:r>
    </w:p>
    <w:p w14:paraId="25FA563F">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3.11 设备借用到期应及时归还，未及时归还扣1分/天。借用设备应做好日常维护确保设备完好及清洁，如有损坏应在归还前修复，并承担修复费用。归还后出现不能使用的，修复由原借用方履行修复责任，并承担修复费用。拒不修复扣10分，无法修复的等价赔偿。</w:t>
      </w:r>
    </w:p>
    <w:p w14:paraId="6EA4C2D0">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3.12 其他违反成本控制的，扣1-10分。</w:t>
      </w:r>
    </w:p>
    <w:p w14:paraId="2FE73D85">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备注：扣分为累计扣分，扣完为止。</w:t>
      </w:r>
    </w:p>
    <w:p w14:paraId="79A10831">
      <w:pPr>
        <w:spacing w:before="312" w:beforeLines="100" w:after="312" w:afterLines="100"/>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 xml:space="preserve"> 竣工验收及项目移交考核细则</w:t>
      </w:r>
    </w:p>
    <w:p w14:paraId="7739F595">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.1 竣工图编制不符合规范要求，或管线位置未按</w:t>
      </w:r>
      <w:r>
        <w:rPr>
          <w:rFonts w:hint="eastAsia" w:ascii="宋体" w:hAnsi="宋体" w:eastAsia="宋体" w:cs="宋体"/>
          <w:color w:val="000000" w:themeColor="text1"/>
          <w:sz w:val="24"/>
          <w:szCs w:val="24"/>
          <w:highlight w:val="none"/>
          <w:lang w:eastAsia="zh-CN"/>
          <w14:textFill>
            <w14:solidFill>
              <w14:schemeClr w14:val="tx1"/>
            </w14:solidFill>
          </w14:textFill>
        </w:rPr>
        <w:t>当时施工地面标注的，扣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1份/处，</w:t>
      </w:r>
      <w:r>
        <w:rPr>
          <w:rFonts w:hint="eastAsia" w:ascii="宋体" w:hAnsi="宋体" w:eastAsia="宋体" w:cs="宋体"/>
          <w:color w:val="000000" w:themeColor="text1"/>
          <w:sz w:val="24"/>
          <w:szCs w:val="24"/>
          <w:highlight w:val="none"/>
          <w14:textFill>
            <w14:solidFill>
              <w14:schemeClr w14:val="tx1"/>
            </w14:solidFill>
          </w14:textFill>
        </w:rPr>
        <w:t>扣完为止。</w:t>
      </w:r>
    </w:p>
    <w:p w14:paraId="4167AB34">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.2 管线转角、构筑物等未在图中标注扣1分/处，扣完为止。</w:t>
      </w:r>
    </w:p>
    <w:p w14:paraId="5CA714B3">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 xml:space="preserve">.3 </w:t>
      </w:r>
      <w:r>
        <w:rPr>
          <w:rFonts w:hint="eastAsia" w:ascii="宋体" w:hAnsi="宋体" w:eastAsia="宋体" w:cs="宋体"/>
          <w:color w:val="000000" w:themeColor="text1"/>
          <w:sz w:val="24"/>
          <w:szCs w:val="24"/>
          <w:highlight w:val="none"/>
          <w:lang w:eastAsia="zh-CN"/>
          <w14:textFill>
            <w14:solidFill>
              <w14:schemeClr w14:val="tx1"/>
            </w14:solidFill>
          </w14:textFill>
        </w:rPr>
        <w:t>管</w:t>
      </w:r>
      <w:r>
        <w:rPr>
          <w:rFonts w:hint="eastAsia" w:ascii="宋体" w:hAnsi="宋体" w:eastAsia="宋体" w:cs="宋体"/>
          <w:color w:val="000000" w:themeColor="text1"/>
          <w:sz w:val="24"/>
          <w:szCs w:val="24"/>
          <w:highlight w:val="none"/>
          <w14:textFill>
            <w14:solidFill>
              <w14:schemeClr w14:val="tx1"/>
            </w14:solidFill>
          </w14:textFill>
        </w:rPr>
        <w:t>位桩（标志）未按设计要求设置，扣1分/处，扣完为止。</w:t>
      </w:r>
    </w:p>
    <w:p w14:paraId="22FA83B6">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.4 竣（完）工验收未按要求在规定期限内组织验收扣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w:t>
      </w:r>
    </w:p>
    <w:p w14:paraId="6B610B2E">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.5 竣（完）工验收未通过，</w:t>
      </w:r>
      <w:r>
        <w:rPr>
          <w:rFonts w:hint="eastAsia" w:ascii="宋体" w:hAnsi="宋体" w:eastAsia="宋体" w:cs="宋体"/>
          <w:color w:val="000000" w:themeColor="text1"/>
          <w:sz w:val="24"/>
          <w:szCs w:val="24"/>
          <w:highlight w:val="none"/>
          <w:lang w:val="en-US" w:eastAsia="zh-CN"/>
          <w14:textFill>
            <w14:solidFill>
              <w14:schemeClr w14:val="tx1"/>
            </w14:solidFill>
          </w14:textFill>
        </w:rPr>
        <w:t>扣5分</w:t>
      </w:r>
      <w:r>
        <w:rPr>
          <w:rFonts w:hint="eastAsia" w:ascii="宋体" w:hAnsi="宋体" w:eastAsia="宋体" w:cs="宋体"/>
          <w:color w:val="000000" w:themeColor="text1"/>
          <w:sz w:val="24"/>
          <w:szCs w:val="24"/>
          <w:highlight w:val="none"/>
          <w14:textFill>
            <w14:solidFill>
              <w14:schemeClr w14:val="tx1"/>
            </w14:solidFill>
          </w14:textFill>
        </w:rPr>
        <w:t>。</w:t>
      </w:r>
    </w:p>
    <w:p w14:paraId="05A47F19">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.6 竣（完）工验收前资料未收集齐全并分册整理，扣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w:t>
      </w:r>
    </w:p>
    <w:p w14:paraId="052D9B4D">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.7 竣（完）工验收后资料未及时移交扣</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分，每延迟1天，加扣1分，扣完为止。</w:t>
      </w:r>
    </w:p>
    <w:p w14:paraId="183A8DE6">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.8 竣（完）工验收后未按要求在规定期限办理项目移交扣</w:t>
      </w: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分，每延迟1天，加扣1分，扣完为止。</w:t>
      </w:r>
    </w:p>
    <w:p w14:paraId="14E238D0">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.9 竣（完）工验收后未在规定期限内完成项目审价的，扣</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分，每延迟1天，加扣1分，扣完为止。</w:t>
      </w:r>
    </w:p>
    <w:p w14:paraId="2647E3C0">
      <w:pPr>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.10 表前阀在移交前必须处于关闭状态，在移交前表前阀开启，扣5分/处，由此产生的相关费用和责任由劳务施工班组承担。</w:t>
      </w:r>
    </w:p>
    <w:p w14:paraId="57848A3C">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4.11 其他违反竣工验收及项目移交的，扣1-10分。</w:t>
      </w:r>
    </w:p>
    <w:p w14:paraId="76B4C8B2">
      <w:pPr>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sectPr>
          <w:pgSz w:w="11906" w:h="16838"/>
          <w:pgMar w:top="1440" w:right="1797" w:bottom="1440" w:left="1797" w:header="851" w:footer="992" w:gutter="0"/>
          <w:pgNumType w:fmt="decimal"/>
          <w:cols w:space="720" w:num="1"/>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备注：扣分为累计扣分，扣完</w:t>
      </w:r>
      <w:r>
        <w:rPr>
          <w:rFonts w:hint="eastAsia" w:ascii="宋体" w:hAnsi="宋体" w:eastAsia="宋体" w:cs="宋体"/>
          <w:color w:val="000000" w:themeColor="text1"/>
          <w:sz w:val="24"/>
          <w:szCs w:val="24"/>
          <w:highlight w:val="none"/>
          <w:lang w:eastAsia="zh-CN"/>
          <w14:textFill>
            <w14:solidFill>
              <w14:schemeClr w14:val="tx1"/>
            </w14:solidFill>
          </w14:textFill>
        </w:rPr>
        <w:t>为止。</w:t>
      </w:r>
    </w:p>
    <w:p w14:paraId="5CB22769">
      <w:pPr>
        <w:pStyle w:val="4"/>
        <w:spacing w:before="156" w:beforeLines="50" w:line="24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Cs w:val="0"/>
          <w:color w:val="000000" w:themeColor="text1"/>
          <w:sz w:val="36"/>
          <w:szCs w:val="36"/>
          <w:highlight w:val="none"/>
          <w14:textFill>
            <w14:solidFill>
              <w14:schemeClr w14:val="tx1"/>
            </w14:solidFill>
          </w14:textFill>
        </w:rPr>
        <w:t>第</w:t>
      </w:r>
      <w:r>
        <w:rPr>
          <w:rFonts w:hint="eastAsia" w:ascii="宋体" w:hAnsi="宋体" w:eastAsia="宋体" w:cs="宋体"/>
          <w:bCs w:val="0"/>
          <w:color w:val="000000" w:themeColor="text1"/>
          <w:sz w:val="36"/>
          <w:szCs w:val="36"/>
          <w:highlight w:val="none"/>
          <w:lang w:eastAsia="zh-CN"/>
          <w14:textFill>
            <w14:solidFill>
              <w14:schemeClr w14:val="tx1"/>
            </w14:solidFill>
          </w14:textFill>
        </w:rPr>
        <w:t>五</w:t>
      </w:r>
      <w:r>
        <w:rPr>
          <w:rFonts w:hint="eastAsia" w:ascii="宋体" w:hAnsi="宋体" w:eastAsia="宋体" w:cs="宋体"/>
          <w:bCs w:val="0"/>
          <w:color w:val="000000" w:themeColor="text1"/>
          <w:sz w:val="36"/>
          <w:szCs w:val="36"/>
          <w:highlight w:val="none"/>
          <w14:textFill>
            <w14:solidFill>
              <w14:schemeClr w14:val="tx1"/>
            </w14:solidFill>
          </w14:textFill>
        </w:rPr>
        <w:t>章  投标文件格式</w:t>
      </w:r>
      <w:bookmarkEnd w:id="307"/>
      <w:bookmarkEnd w:id="308"/>
    </w:p>
    <w:p w14:paraId="6BABFC10">
      <w:pPr>
        <w:pStyle w:val="12"/>
        <w:snapToGrid w:val="0"/>
        <w:jc w:val="right"/>
        <w:rPr>
          <w:rFonts w:hint="eastAsia" w:ascii="宋体" w:hAnsi="宋体" w:eastAsia="宋体" w:cs="宋体"/>
          <w:color w:val="000000" w:themeColor="text1"/>
          <w:sz w:val="32"/>
          <w:highlight w:val="none"/>
          <w14:textFill>
            <w14:solidFill>
              <w14:schemeClr w14:val="tx1"/>
            </w14:solidFill>
          </w14:textFill>
        </w:rPr>
      </w:pPr>
      <w:r>
        <w:rPr>
          <w:rFonts w:hint="eastAsia" w:ascii="宋体" w:hAnsi="宋体" w:eastAsia="宋体" w:cs="宋体"/>
          <w:color w:val="000000" w:themeColor="text1"/>
          <w:sz w:val="32"/>
          <w:highlight w:val="none"/>
          <w14:textFill>
            <w14:solidFill>
              <w14:schemeClr w14:val="tx1"/>
            </w14:solidFill>
          </w14:textFill>
        </w:rPr>
        <w:t>（正本/副本）</w:t>
      </w:r>
    </w:p>
    <w:p w14:paraId="67142936">
      <w:pPr>
        <w:pStyle w:val="12"/>
        <w:spacing w:line="600" w:lineRule="exact"/>
        <w:jc w:val="center"/>
        <w:rPr>
          <w:rFonts w:hint="eastAsia" w:ascii="宋体" w:hAnsi="宋体" w:eastAsia="宋体" w:cs="宋体"/>
          <w:color w:val="000000" w:themeColor="text1"/>
          <w:sz w:val="52"/>
          <w:szCs w:val="52"/>
          <w:highlight w:val="none"/>
          <w:u w:val="none"/>
          <w:lang w:eastAsia="zh-CN"/>
          <w14:textFill>
            <w14:solidFill>
              <w14:schemeClr w14:val="tx1"/>
            </w14:solidFill>
          </w14:textFill>
        </w:rPr>
      </w:pPr>
    </w:p>
    <w:p w14:paraId="0DAD85E9">
      <w:pPr>
        <w:pStyle w:val="12"/>
        <w:spacing w:line="600" w:lineRule="exact"/>
        <w:jc w:val="center"/>
        <w:rPr>
          <w:rFonts w:hint="eastAsia" w:ascii="宋体" w:hAnsi="宋体" w:eastAsia="宋体" w:cs="宋体"/>
          <w:color w:val="000000" w:themeColor="text1"/>
          <w:sz w:val="44"/>
          <w:szCs w:val="44"/>
          <w:highlight w:val="none"/>
          <w:u w:val="single"/>
          <w:lang w:eastAsia="zh-CN"/>
          <w14:textFill>
            <w14:solidFill>
              <w14:schemeClr w14:val="tx1"/>
            </w14:solidFill>
          </w14:textFill>
        </w:rPr>
      </w:pPr>
      <w:r>
        <w:rPr>
          <w:rFonts w:hint="eastAsia" w:ascii="宋体" w:hAnsi="宋体" w:eastAsia="宋体" w:cs="宋体"/>
          <w:color w:val="000000" w:themeColor="text1"/>
          <w:sz w:val="44"/>
          <w:szCs w:val="44"/>
          <w:highlight w:val="none"/>
          <w:u w:val="none"/>
          <w:lang w:eastAsia="zh-CN"/>
          <w14:textFill>
            <w14:solidFill>
              <w14:schemeClr w14:val="tx1"/>
            </w14:solidFill>
          </w14:textFill>
        </w:rPr>
        <w:t>华水水业公司、华水农村供水公司管道应急维修及零星作业已入围班组2025年分片区招标</w:t>
      </w:r>
    </w:p>
    <w:p w14:paraId="3C4D218A">
      <w:pPr>
        <w:pStyle w:val="12"/>
        <w:spacing w:line="600" w:lineRule="exact"/>
        <w:jc w:val="center"/>
        <w:rPr>
          <w:rFonts w:hint="eastAsia" w:ascii="宋体" w:hAnsi="宋体" w:eastAsia="宋体" w:cs="宋体"/>
          <w:color w:val="000000" w:themeColor="text1"/>
          <w:sz w:val="52"/>
          <w:highlight w:val="none"/>
          <w14:textFill>
            <w14:solidFill>
              <w14:schemeClr w14:val="tx1"/>
            </w14:solidFill>
          </w14:textFill>
        </w:rPr>
      </w:pPr>
    </w:p>
    <w:p w14:paraId="723A342F">
      <w:pPr>
        <w:pStyle w:val="12"/>
        <w:spacing w:line="600" w:lineRule="exact"/>
        <w:jc w:val="center"/>
        <w:rPr>
          <w:rFonts w:hint="eastAsia" w:ascii="宋体" w:hAnsi="宋体" w:eastAsia="宋体" w:cs="宋体"/>
          <w:color w:val="000000" w:themeColor="text1"/>
          <w:sz w:val="52"/>
          <w:highlight w:val="none"/>
          <w14:textFill>
            <w14:solidFill>
              <w14:schemeClr w14:val="tx1"/>
            </w14:solidFill>
          </w14:textFill>
        </w:rPr>
      </w:pPr>
    </w:p>
    <w:p w14:paraId="283D9891">
      <w:pPr>
        <w:pStyle w:val="12"/>
        <w:snapToGrid w:val="0"/>
        <w:jc w:val="center"/>
        <w:rPr>
          <w:rFonts w:hint="eastAsia" w:ascii="宋体" w:hAnsi="宋体" w:eastAsia="宋体" w:cs="宋体"/>
          <w:b/>
          <w:color w:val="000000" w:themeColor="text1"/>
          <w:sz w:val="96"/>
          <w:highlight w:val="none"/>
          <w14:textFill>
            <w14:solidFill>
              <w14:schemeClr w14:val="tx1"/>
            </w14:solidFill>
          </w14:textFill>
        </w:rPr>
      </w:pPr>
      <w:r>
        <w:rPr>
          <w:rFonts w:hint="eastAsia" w:ascii="宋体" w:hAnsi="宋体" w:eastAsia="宋体" w:cs="宋体"/>
          <w:b/>
          <w:color w:val="000000" w:themeColor="text1"/>
          <w:sz w:val="96"/>
          <w:szCs w:val="96"/>
          <w:highlight w:val="none"/>
          <w14:textFill>
            <w14:solidFill>
              <w14:schemeClr w14:val="tx1"/>
            </w14:solidFill>
          </w14:textFill>
        </w:rPr>
        <w:t>投标文件</w:t>
      </w:r>
    </w:p>
    <w:p w14:paraId="05011758">
      <w:pPr>
        <w:pStyle w:val="12"/>
        <w:snapToGrid w:val="0"/>
        <w:jc w:val="center"/>
        <w:rPr>
          <w:rFonts w:hint="eastAsia" w:ascii="宋体" w:hAnsi="宋体" w:eastAsia="宋体" w:cs="宋体"/>
          <w:color w:val="000000" w:themeColor="text1"/>
          <w:highlight w:val="none"/>
          <w14:textFill>
            <w14:solidFill>
              <w14:schemeClr w14:val="tx1"/>
            </w14:solidFill>
          </w14:textFill>
        </w:rPr>
      </w:pPr>
    </w:p>
    <w:p w14:paraId="3C278FD0">
      <w:pPr>
        <w:spacing w:line="360" w:lineRule="auto"/>
        <w:jc w:val="center"/>
        <w:rPr>
          <w:rFonts w:hint="eastAsia" w:ascii="宋体" w:hAnsi="宋体" w:eastAsia="宋体" w:cs="宋体"/>
          <w:color w:val="000000" w:themeColor="text1"/>
          <w:sz w:val="24"/>
          <w:highlight w:val="none"/>
          <w14:textFill>
            <w14:solidFill>
              <w14:schemeClr w14:val="tx1"/>
            </w14:solidFill>
          </w14:textFill>
        </w:rPr>
      </w:pPr>
    </w:p>
    <w:p w14:paraId="737474D6">
      <w:pPr>
        <w:spacing w:line="360" w:lineRule="auto"/>
        <w:ind w:firstLine="3200" w:firstLineChars="1000"/>
        <w:rPr>
          <w:rFonts w:hint="eastAsia" w:ascii="宋体" w:hAnsi="宋体" w:eastAsia="宋体" w:cs="宋体"/>
          <w:color w:val="000000" w:themeColor="text1"/>
          <w:sz w:val="32"/>
          <w:highlight w:val="none"/>
          <w14:textFill>
            <w14:solidFill>
              <w14:schemeClr w14:val="tx1"/>
            </w14:solidFill>
          </w14:textFill>
        </w:rPr>
      </w:pPr>
      <w:r>
        <w:rPr>
          <w:rFonts w:hint="eastAsia" w:ascii="宋体" w:hAnsi="宋体" w:eastAsia="宋体" w:cs="宋体"/>
          <w:color w:val="000000" w:themeColor="text1"/>
          <w:sz w:val="32"/>
          <w:szCs w:val="21"/>
          <w:highlight w:val="none"/>
          <w14:textFill>
            <w14:solidFill>
              <w14:schemeClr w14:val="tx1"/>
            </w14:solidFill>
          </w14:textFill>
        </w:rPr>
        <w:t>项目编号：</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14:paraId="0208959A">
      <w:pPr>
        <w:pStyle w:val="12"/>
        <w:spacing w:line="600" w:lineRule="exact"/>
        <w:rPr>
          <w:rFonts w:hint="eastAsia" w:ascii="宋体" w:hAnsi="宋体" w:eastAsia="宋体" w:cs="宋体"/>
          <w:color w:val="000000" w:themeColor="text1"/>
          <w:sz w:val="28"/>
          <w:highlight w:val="none"/>
          <w14:textFill>
            <w14:solidFill>
              <w14:schemeClr w14:val="tx1"/>
            </w14:solidFill>
          </w14:textFill>
        </w:rPr>
      </w:pPr>
    </w:p>
    <w:p w14:paraId="55C68CCC">
      <w:pPr>
        <w:pStyle w:val="12"/>
        <w:spacing w:line="600" w:lineRule="exact"/>
        <w:ind w:left="1604" w:leftChars="152" w:hanging="1285" w:hangingChars="400"/>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32"/>
          <w:highlight w:val="none"/>
          <w14:textFill>
            <w14:solidFill>
              <w14:schemeClr w14:val="tx1"/>
            </w14:solidFill>
          </w14:textFill>
        </w:rPr>
        <w:t>项目名称:</w:t>
      </w:r>
      <w:r>
        <w:rPr>
          <w:rFonts w:hint="eastAsia" w:ascii="宋体" w:hAnsi="宋体" w:eastAsia="宋体" w:cs="宋体"/>
          <w:b/>
          <w:bCs/>
          <w:snapToGrid w:val="0"/>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b/>
          <w:bCs/>
          <w:snapToGrid w:val="0"/>
          <w:color w:val="000000" w:themeColor="text1"/>
          <w:sz w:val="30"/>
          <w:szCs w:val="30"/>
          <w:highlight w:val="none"/>
          <w:u w:val="single"/>
          <w:lang w:eastAsia="zh-CN"/>
          <w14:textFill>
            <w14:solidFill>
              <w14:schemeClr w14:val="tx1"/>
            </w14:solidFill>
          </w14:textFill>
        </w:rPr>
        <w:t>华水水业公司、华水农村供水公司管道应急维修及零星作业已入围班组2025年分片区招标</w:t>
      </w:r>
      <w:r>
        <w:rPr>
          <w:rFonts w:hint="eastAsia" w:ascii="宋体" w:hAnsi="宋体" w:eastAsia="宋体" w:cs="宋体"/>
          <w:b/>
          <w:bCs/>
          <w:snapToGrid w:val="0"/>
          <w:color w:val="000000" w:themeColor="text1"/>
          <w:sz w:val="30"/>
          <w:szCs w:val="30"/>
          <w:highlight w:val="none"/>
          <w:u w:val="single"/>
          <w:lang w:val="en-US" w:eastAsia="zh-CN"/>
          <w14:textFill>
            <w14:solidFill>
              <w14:schemeClr w14:val="tx1"/>
            </w14:solidFill>
          </w14:textFill>
        </w:rPr>
        <w:t xml:space="preserve"> </w:t>
      </w:r>
    </w:p>
    <w:p w14:paraId="63D7B4C9">
      <w:pPr>
        <w:spacing w:line="600" w:lineRule="exact"/>
        <w:ind w:firstLine="630" w:firstLineChars="196"/>
        <w:rPr>
          <w:rFonts w:hint="eastAsia" w:ascii="宋体" w:hAnsi="宋体" w:eastAsia="宋体" w:cs="宋体"/>
          <w:b/>
          <w:bCs/>
          <w:color w:val="000000" w:themeColor="text1"/>
          <w:sz w:val="32"/>
          <w:highlight w:val="none"/>
          <w14:textFill>
            <w14:solidFill>
              <w14:schemeClr w14:val="tx1"/>
            </w14:solidFill>
          </w14:textFill>
        </w:rPr>
      </w:pPr>
    </w:p>
    <w:p w14:paraId="29DEC799">
      <w:pPr>
        <w:pStyle w:val="12"/>
        <w:spacing w:after="156" w:afterLines="50" w:line="600" w:lineRule="exact"/>
        <w:ind w:firstLine="321" w:firstLineChars="100"/>
        <w:rPr>
          <w:rFonts w:hint="eastAsia" w:ascii="宋体" w:hAnsi="宋体" w:eastAsia="宋体" w:cs="宋体"/>
          <w:b/>
          <w:bCs/>
          <w:color w:val="000000" w:themeColor="text1"/>
          <w:sz w:val="32"/>
          <w:highlight w:val="none"/>
          <w14:textFill>
            <w14:solidFill>
              <w14:schemeClr w14:val="tx1"/>
            </w14:solidFill>
          </w14:textFill>
        </w:rPr>
      </w:pPr>
      <w:r>
        <w:rPr>
          <w:rFonts w:hint="eastAsia" w:ascii="宋体" w:hAnsi="宋体" w:eastAsia="宋体" w:cs="宋体"/>
          <w:b/>
          <w:bCs/>
          <w:color w:val="000000" w:themeColor="text1"/>
          <w:sz w:val="32"/>
          <w:highlight w:val="none"/>
          <w14:textFill>
            <w14:solidFill>
              <w14:schemeClr w14:val="tx1"/>
            </w14:solidFill>
          </w14:textFill>
        </w:rPr>
        <w:t>投标人：</w:t>
      </w:r>
      <w:r>
        <w:rPr>
          <w:rFonts w:hint="eastAsia" w:ascii="宋体" w:hAnsi="宋体" w:eastAsia="宋体" w:cs="宋体"/>
          <w:b/>
          <w:bCs/>
          <w:color w:val="000000" w:themeColor="text1"/>
          <w:sz w:val="32"/>
          <w:highlight w:val="none"/>
          <w:u w:val="single"/>
          <w14:textFill>
            <w14:solidFill>
              <w14:schemeClr w14:val="tx1"/>
            </w14:solidFill>
          </w14:textFill>
        </w:rPr>
        <w:t xml:space="preserve">                               </w:t>
      </w:r>
      <w:r>
        <w:rPr>
          <w:rFonts w:hint="eastAsia" w:ascii="宋体" w:hAnsi="宋体" w:eastAsia="宋体" w:cs="宋体"/>
          <w:color w:val="000000" w:themeColor="text1"/>
          <w:sz w:val="32"/>
          <w:highlight w:val="none"/>
          <w:u w:val="single"/>
          <w14:textFill>
            <w14:solidFill>
              <w14:schemeClr w14:val="tx1"/>
            </w14:solidFill>
          </w14:textFill>
        </w:rPr>
        <w:t>（全称并盖公章）</w:t>
      </w:r>
    </w:p>
    <w:p w14:paraId="51D38038">
      <w:pPr>
        <w:pStyle w:val="12"/>
        <w:spacing w:after="156" w:afterLines="50" w:line="600" w:lineRule="exact"/>
        <w:ind w:firstLine="630" w:firstLineChars="196"/>
        <w:rPr>
          <w:rFonts w:hint="eastAsia" w:ascii="宋体" w:hAnsi="宋体" w:eastAsia="宋体" w:cs="宋体"/>
          <w:b/>
          <w:bCs/>
          <w:color w:val="000000" w:themeColor="text1"/>
          <w:sz w:val="32"/>
          <w:highlight w:val="none"/>
          <w14:textFill>
            <w14:solidFill>
              <w14:schemeClr w14:val="tx1"/>
            </w14:solidFill>
          </w14:textFill>
        </w:rPr>
      </w:pPr>
    </w:p>
    <w:p w14:paraId="268C633E">
      <w:pPr>
        <w:pStyle w:val="12"/>
        <w:spacing w:after="156" w:afterLines="50" w:line="600" w:lineRule="exact"/>
        <w:ind w:firstLine="321" w:firstLineChars="100"/>
        <w:rPr>
          <w:rFonts w:hint="eastAsia" w:ascii="宋体" w:hAnsi="宋体" w:eastAsia="宋体" w:cs="宋体"/>
          <w:b/>
          <w:bCs/>
          <w:color w:val="000000" w:themeColor="text1"/>
          <w:sz w:val="32"/>
          <w:highlight w:val="none"/>
          <w14:textFill>
            <w14:solidFill>
              <w14:schemeClr w14:val="tx1"/>
            </w14:solidFill>
          </w14:textFill>
        </w:rPr>
      </w:pPr>
      <w:r>
        <w:rPr>
          <w:rFonts w:hint="eastAsia" w:ascii="宋体" w:hAnsi="宋体" w:eastAsia="宋体" w:cs="宋体"/>
          <w:b/>
          <w:bCs/>
          <w:color w:val="000000" w:themeColor="text1"/>
          <w:sz w:val="32"/>
          <w:highlight w:val="none"/>
          <w14:textFill>
            <w14:solidFill>
              <w14:schemeClr w14:val="tx1"/>
            </w14:solidFill>
          </w14:textFill>
        </w:rPr>
        <w:t>法定代表人或其委托代理人:</w:t>
      </w:r>
      <w:r>
        <w:rPr>
          <w:rFonts w:hint="eastAsia" w:ascii="宋体" w:hAnsi="宋体" w:eastAsia="宋体" w:cs="宋体"/>
          <w:b/>
          <w:bCs/>
          <w:color w:val="000000" w:themeColor="text1"/>
          <w:sz w:val="32"/>
          <w:highlight w:val="none"/>
          <w:u w:val="single"/>
          <w14:textFill>
            <w14:solidFill>
              <w14:schemeClr w14:val="tx1"/>
            </w14:solidFill>
          </w14:textFill>
        </w:rPr>
        <w:t xml:space="preserve">                  </w:t>
      </w:r>
      <w:r>
        <w:rPr>
          <w:rFonts w:hint="eastAsia" w:ascii="宋体" w:hAnsi="宋体" w:eastAsia="宋体" w:cs="宋体"/>
          <w:color w:val="000000" w:themeColor="text1"/>
          <w:sz w:val="32"/>
          <w:highlight w:val="none"/>
          <w:u w:val="single"/>
          <w14:textFill>
            <w14:solidFill>
              <w14:schemeClr w14:val="tx1"/>
            </w14:solidFill>
          </w14:textFill>
        </w:rPr>
        <w:t>(签字或盖章)</w:t>
      </w:r>
    </w:p>
    <w:p w14:paraId="7B0C6DC5">
      <w:pPr>
        <w:pStyle w:val="12"/>
        <w:spacing w:after="156" w:afterLines="50" w:line="600" w:lineRule="exact"/>
        <w:jc w:val="center"/>
        <w:rPr>
          <w:rFonts w:hint="eastAsia" w:ascii="宋体" w:hAnsi="宋体" w:eastAsia="宋体" w:cs="宋体"/>
          <w:b/>
          <w:bCs/>
          <w:color w:val="000000" w:themeColor="text1"/>
          <w:sz w:val="32"/>
          <w:highlight w:val="none"/>
          <w14:textFill>
            <w14:solidFill>
              <w14:schemeClr w14:val="tx1"/>
            </w14:solidFill>
          </w14:textFill>
        </w:rPr>
      </w:pPr>
    </w:p>
    <w:p w14:paraId="702A75C0">
      <w:pPr>
        <w:pStyle w:val="12"/>
        <w:spacing w:after="156" w:afterLines="50" w:line="600" w:lineRule="exact"/>
        <w:jc w:val="center"/>
        <w:rPr>
          <w:rFonts w:hint="eastAsia" w:ascii="宋体" w:hAnsi="宋体" w:eastAsia="宋体" w:cs="宋体"/>
          <w:b/>
          <w:bCs/>
          <w:color w:val="000000" w:themeColor="text1"/>
          <w:sz w:val="32"/>
          <w:highlight w:val="none"/>
          <w14:textFill>
            <w14:solidFill>
              <w14:schemeClr w14:val="tx1"/>
            </w14:solidFill>
          </w14:textFill>
        </w:rPr>
      </w:pPr>
      <w:r>
        <w:rPr>
          <w:rFonts w:hint="eastAsia" w:ascii="宋体" w:hAnsi="宋体" w:eastAsia="宋体" w:cs="宋体"/>
          <w:b/>
          <w:bCs/>
          <w:color w:val="000000" w:themeColor="text1"/>
          <w:sz w:val="32"/>
          <w:highlight w:val="none"/>
          <w14:textFill>
            <w14:solidFill>
              <w14:schemeClr w14:val="tx1"/>
            </w14:solidFill>
          </w14:textFill>
        </w:rPr>
        <w:t>日期:</w:t>
      </w:r>
      <w:r>
        <w:rPr>
          <w:rFonts w:hint="eastAsia" w:ascii="宋体" w:hAnsi="宋体" w:eastAsia="宋体" w:cs="宋体"/>
          <w:b/>
          <w:bCs/>
          <w:color w:val="000000" w:themeColor="text1"/>
          <w:sz w:val="32"/>
          <w:highlight w:val="none"/>
          <w:u w:val="single"/>
          <w14:textFill>
            <w14:solidFill>
              <w14:schemeClr w14:val="tx1"/>
            </w14:solidFill>
          </w14:textFill>
        </w:rPr>
        <w:t xml:space="preserve">     </w:t>
      </w:r>
      <w:r>
        <w:rPr>
          <w:rFonts w:hint="eastAsia" w:ascii="宋体" w:hAnsi="宋体" w:eastAsia="宋体" w:cs="宋体"/>
          <w:b/>
          <w:bCs/>
          <w:color w:val="000000" w:themeColor="text1"/>
          <w:sz w:val="32"/>
          <w:highlight w:val="none"/>
          <w14:textFill>
            <w14:solidFill>
              <w14:schemeClr w14:val="tx1"/>
            </w14:solidFill>
          </w14:textFill>
        </w:rPr>
        <w:t>年</w:t>
      </w:r>
      <w:r>
        <w:rPr>
          <w:rFonts w:hint="eastAsia" w:ascii="宋体" w:hAnsi="宋体" w:eastAsia="宋体" w:cs="宋体"/>
          <w:b/>
          <w:bCs/>
          <w:color w:val="000000" w:themeColor="text1"/>
          <w:sz w:val="32"/>
          <w:highlight w:val="none"/>
          <w:u w:val="single"/>
          <w14:textFill>
            <w14:solidFill>
              <w14:schemeClr w14:val="tx1"/>
            </w14:solidFill>
          </w14:textFill>
        </w:rPr>
        <w:t xml:space="preserve">     </w:t>
      </w:r>
      <w:r>
        <w:rPr>
          <w:rFonts w:hint="eastAsia" w:ascii="宋体" w:hAnsi="宋体" w:eastAsia="宋体" w:cs="宋体"/>
          <w:b/>
          <w:bCs/>
          <w:color w:val="000000" w:themeColor="text1"/>
          <w:sz w:val="32"/>
          <w:highlight w:val="none"/>
          <w14:textFill>
            <w14:solidFill>
              <w14:schemeClr w14:val="tx1"/>
            </w14:solidFill>
          </w14:textFill>
        </w:rPr>
        <w:t>月</w:t>
      </w:r>
      <w:r>
        <w:rPr>
          <w:rFonts w:hint="eastAsia" w:ascii="宋体" w:hAnsi="宋体" w:eastAsia="宋体" w:cs="宋体"/>
          <w:b/>
          <w:bCs/>
          <w:color w:val="000000" w:themeColor="text1"/>
          <w:sz w:val="32"/>
          <w:highlight w:val="none"/>
          <w:u w:val="single"/>
          <w14:textFill>
            <w14:solidFill>
              <w14:schemeClr w14:val="tx1"/>
            </w14:solidFill>
          </w14:textFill>
        </w:rPr>
        <w:t xml:space="preserve">     </w:t>
      </w:r>
      <w:r>
        <w:rPr>
          <w:rFonts w:hint="eastAsia" w:ascii="宋体" w:hAnsi="宋体" w:eastAsia="宋体" w:cs="宋体"/>
          <w:b/>
          <w:bCs/>
          <w:color w:val="000000" w:themeColor="text1"/>
          <w:sz w:val="32"/>
          <w:highlight w:val="none"/>
          <w14:textFill>
            <w14:solidFill>
              <w14:schemeClr w14:val="tx1"/>
            </w14:solidFill>
          </w14:textFill>
        </w:rPr>
        <w:t>日</w:t>
      </w:r>
    </w:p>
    <w:p w14:paraId="30908980">
      <w:pPr>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br w:type="page"/>
      </w:r>
    </w:p>
    <w:p w14:paraId="1D843D18">
      <w:pPr>
        <w:spacing w:line="480" w:lineRule="auto"/>
        <w:jc w:val="cente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t>投标函</w:t>
      </w:r>
    </w:p>
    <w:p w14:paraId="2C93BB2A">
      <w:pPr>
        <w:spacing w:line="480" w:lineRule="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致：</w:t>
      </w:r>
      <w:r>
        <w:rPr>
          <w:rFonts w:hint="eastAsia" w:ascii="宋体" w:hAnsi="宋体" w:eastAsia="宋体" w:cs="宋体"/>
          <w:bCs/>
          <w:color w:val="000000" w:themeColor="text1"/>
          <w:sz w:val="24"/>
          <w:szCs w:val="24"/>
          <w:highlight w:val="none"/>
          <w:u w:val="single"/>
          <w14:textFill>
            <w14:solidFill>
              <w14:schemeClr w14:val="tx1"/>
            </w14:solidFill>
          </w14:textFill>
        </w:rPr>
        <w:t>龙游华水水业</w:t>
      </w:r>
      <w:r>
        <w:rPr>
          <w:rFonts w:hint="eastAsia" w:ascii="宋体" w:hAnsi="宋体" w:eastAsia="宋体" w:cs="宋体"/>
          <w:bCs/>
          <w:color w:val="000000" w:themeColor="text1"/>
          <w:sz w:val="24"/>
          <w:szCs w:val="24"/>
          <w:highlight w:val="none"/>
          <w:u w:val="single"/>
          <w:lang w:eastAsia="zh-CN"/>
          <w14:textFill>
            <w14:solidFill>
              <w14:schemeClr w14:val="tx1"/>
            </w14:solidFill>
          </w14:textFill>
        </w:rPr>
        <w:t>、农村供水</w:t>
      </w:r>
      <w:r>
        <w:rPr>
          <w:rFonts w:hint="eastAsia" w:ascii="宋体" w:hAnsi="宋体" w:eastAsia="宋体" w:cs="宋体"/>
          <w:bCs/>
          <w:color w:val="000000" w:themeColor="text1"/>
          <w:sz w:val="24"/>
          <w:szCs w:val="24"/>
          <w:highlight w:val="none"/>
          <w:u w:val="single"/>
          <w14:textFill>
            <w14:solidFill>
              <w14:schemeClr w14:val="tx1"/>
            </w14:solidFill>
          </w14:textFill>
        </w:rPr>
        <w:t>发展有限公司</w:t>
      </w:r>
      <w:r>
        <w:rPr>
          <w:rFonts w:hint="eastAsia" w:ascii="宋体" w:hAnsi="宋体" w:eastAsia="宋体" w:cs="宋体"/>
          <w:bCs/>
          <w:color w:val="000000" w:themeColor="text1"/>
          <w:sz w:val="24"/>
          <w:szCs w:val="24"/>
          <w:highlight w:val="none"/>
          <w14:textFill>
            <w14:solidFill>
              <w14:schemeClr w14:val="tx1"/>
            </w14:solidFill>
          </w14:textFill>
        </w:rPr>
        <w:t>（招标人）</w:t>
      </w:r>
    </w:p>
    <w:p w14:paraId="1361D0BF">
      <w:pPr>
        <w:numPr>
          <w:ilvl w:val="0"/>
          <w:numId w:val="11"/>
        </w:numPr>
        <w:spacing w:line="480" w:lineRule="auto"/>
        <w:ind w:firstLine="480" w:firstLineChars="200"/>
        <w:jc w:val="both"/>
        <w:rPr>
          <w:rFonts w:hint="eastAsia" w:ascii="宋体" w:hAnsi="宋体" w:eastAsia="宋体" w:cs="宋体"/>
          <w:bCs/>
          <w:color w:val="000000" w:themeColor="text1"/>
          <w:sz w:val="24"/>
          <w:szCs w:val="24"/>
          <w:highlight w:val="none"/>
          <w:lang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根据你方招标</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华水水业公司、华水农村供水公司管道应急维修及零星作业已入围班组2025年分片区招标</w:t>
      </w:r>
      <w:r>
        <w:rPr>
          <w:rFonts w:hint="eastAsia" w:ascii="宋体" w:hAnsi="宋体" w:eastAsia="宋体" w:cs="宋体"/>
          <w:bCs/>
          <w:color w:val="000000" w:themeColor="text1"/>
          <w:sz w:val="24"/>
          <w:szCs w:val="24"/>
          <w:highlight w:val="none"/>
          <w:u w:val="single"/>
          <w:lang w:val="en-US"/>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招标文件，遵照《中华人民共和国招标投标法》等有关规定，经踏勘现场和研究上述招标文件的投标须知、其他有关文件后，我方经过认真计算，我方最终的投标</w:t>
      </w:r>
      <w:r>
        <w:rPr>
          <w:rFonts w:hint="eastAsia" w:ascii="宋体" w:hAnsi="宋体" w:eastAsia="宋体" w:cs="宋体"/>
          <w:bCs/>
          <w:color w:val="000000" w:themeColor="text1"/>
          <w:sz w:val="24"/>
          <w:szCs w:val="24"/>
          <w:highlight w:val="none"/>
          <w:lang w:eastAsia="zh-CN"/>
          <w14:textFill>
            <w14:solidFill>
              <w14:schemeClr w14:val="tx1"/>
            </w14:solidFill>
          </w14:textFill>
        </w:rPr>
        <w:t>价如下</w:t>
      </w:r>
      <w:r>
        <w:rPr>
          <w:rFonts w:hint="eastAsia" w:ascii="宋体" w:hAnsi="宋体" w:cs="宋体"/>
          <w:bCs/>
          <w:color w:val="000000" w:themeColor="text1"/>
          <w:sz w:val="24"/>
          <w:szCs w:val="24"/>
          <w:highlight w:val="none"/>
          <w:lang w:eastAsia="zh-CN"/>
          <w14:textFill>
            <w14:solidFill>
              <w14:schemeClr w14:val="tx1"/>
            </w14:solidFill>
          </w14:textFill>
        </w:rPr>
        <w:t>：</w:t>
      </w:r>
    </w:p>
    <w:tbl>
      <w:tblPr>
        <w:tblStyle w:val="28"/>
        <w:tblW w:w="0" w:type="auto"/>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3"/>
        <w:gridCol w:w="2478"/>
        <w:gridCol w:w="2951"/>
        <w:gridCol w:w="2256"/>
      </w:tblGrid>
      <w:tr w14:paraId="0C9B1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453" w:type="dxa"/>
            <w:noWrap w:val="0"/>
            <w:vAlign w:val="center"/>
          </w:tcPr>
          <w:p w14:paraId="2ED70D7A">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标段号</w:t>
            </w:r>
          </w:p>
        </w:tc>
        <w:tc>
          <w:tcPr>
            <w:tcW w:w="2478" w:type="dxa"/>
            <w:noWrap w:val="0"/>
            <w:vAlign w:val="center"/>
          </w:tcPr>
          <w:p w14:paraId="7E48662C">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工程地点</w:t>
            </w:r>
          </w:p>
        </w:tc>
        <w:tc>
          <w:tcPr>
            <w:tcW w:w="2951" w:type="dxa"/>
            <w:noWrap w:val="0"/>
            <w:vAlign w:val="center"/>
          </w:tcPr>
          <w:p w14:paraId="7D848C81">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下浮率</w:t>
            </w:r>
          </w:p>
        </w:tc>
        <w:tc>
          <w:tcPr>
            <w:tcW w:w="2256" w:type="dxa"/>
            <w:noWrap w:val="0"/>
            <w:vAlign w:val="center"/>
          </w:tcPr>
          <w:p w14:paraId="03C8E677">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备注</w:t>
            </w:r>
          </w:p>
        </w:tc>
      </w:tr>
      <w:tr w14:paraId="7CD69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453" w:type="dxa"/>
            <w:noWrap w:val="0"/>
            <w:vAlign w:val="center"/>
          </w:tcPr>
          <w:p w14:paraId="3E83C36C">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1</w:t>
            </w:r>
          </w:p>
        </w:tc>
        <w:tc>
          <w:tcPr>
            <w:tcW w:w="2478" w:type="dxa"/>
            <w:noWrap w:val="0"/>
            <w:vAlign w:val="center"/>
          </w:tcPr>
          <w:p w14:paraId="3BEF3835">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城区片</w:t>
            </w:r>
          </w:p>
        </w:tc>
        <w:tc>
          <w:tcPr>
            <w:tcW w:w="2951" w:type="dxa"/>
            <w:noWrap w:val="0"/>
            <w:vAlign w:val="center"/>
          </w:tcPr>
          <w:p w14:paraId="39D6ADE0">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551FF56A">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29A4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3" w:type="dxa"/>
            <w:noWrap w:val="0"/>
            <w:vAlign w:val="center"/>
          </w:tcPr>
          <w:p w14:paraId="114783FE">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2</w:t>
            </w:r>
          </w:p>
        </w:tc>
        <w:tc>
          <w:tcPr>
            <w:tcW w:w="2478" w:type="dxa"/>
            <w:noWrap w:val="0"/>
            <w:vAlign w:val="center"/>
          </w:tcPr>
          <w:p w14:paraId="42B1FCAE">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城东片</w:t>
            </w:r>
          </w:p>
        </w:tc>
        <w:tc>
          <w:tcPr>
            <w:tcW w:w="2951" w:type="dxa"/>
            <w:noWrap w:val="0"/>
            <w:vAlign w:val="center"/>
          </w:tcPr>
          <w:p w14:paraId="7BD6DF75">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3602A237">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6BF76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3" w:type="dxa"/>
            <w:noWrap w:val="0"/>
            <w:vAlign w:val="center"/>
          </w:tcPr>
          <w:p w14:paraId="0E2769E4">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3</w:t>
            </w:r>
          </w:p>
        </w:tc>
        <w:tc>
          <w:tcPr>
            <w:tcW w:w="2478" w:type="dxa"/>
            <w:noWrap w:val="0"/>
            <w:vAlign w:val="center"/>
          </w:tcPr>
          <w:p w14:paraId="5C3FB66B">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城北片</w:t>
            </w:r>
          </w:p>
        </w:tc>
        <w:tc>
          <w:tcPr>
            <w:tcW w:w="2951" w:type="dxa"/>
            <w:noWrap w:val="0"/>
            <w:vAlign w:val="center"/>
          </w:tcPr>
          <w:p w14:paraId="0E437C23">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0632131C">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71FE0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3" w:type="dxa"/>
            <w:noWrap w:val="0"/>
            <w:vAlign w:val="center"/>
          </w:tcPr>
          <w:p w14:paraId="0731958A">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4</w:t>
            </w:r>
          </w:p>
        </w:tc>
        <w:tc>
          <w:tcPr>
            <w:tcW w:w="2478" w:type="dxa"/>
            <w:noWrap w:val="0"/>
            <w:vAlign w:val="center"/>
          </w:tcPr>
          <w:p w14:paraId="1B3EEB76">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城西片</w:t>
            </w:r>
          </w:p>
        </w:tc>
        <w:tc>
          <w:tcPr>
            <w:tcW w:w="2951" w:type="dxa"/>
            <w:noWrap w:val="0"/>
            <w:vAlign w:val="center"/>
          </w:tcPr>
          <w:p w14:paraId="474363E9">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13E02698">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56C3F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3" w:type="dxa"/>
            <w:noWrap w:val="0"/>
            <w:vAlign w:val="center"/>
          </w:tcPr>
          <w:p w14:paraId="14634934">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5</w:t>
            </w:r>
          </w:p>
        </w:tc>
        <w:tc>
          <w:tcPr>
            <w:tcW w:w="2478" w:type="dxa"/>
            <w:noWrap w:val="0"/>
            <w:vAlign w:val="center"/>
          </w:tcPr>
          <w:p w14:paraId="3EA1BFD0">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溪口片</w:t>
            </w:r>
          </w:p>
        </w:tc>
        <w:tc>
          <w:tcPr>
            <w:tcW w:w="2951" w:type="dxa"/>
            <w:noWrap w:val="0"/>
            <w:vAlign w:val="center"/>
          </w:tcPr>
          <w:p w14:paraId="22630637">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02DA500A">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2E4D9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53" w:type="dxa"/>
            <w:noWrap w:val="0"/>
            <w:vAlign w:val="center"/>
          </w:tcPr>
          <w:p w14:paraId="79D6AF10">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6</w:t>
            </w:r>
          </w:p>
        </w:tc>
        <w:tc>
          <w:tcPr>
            <w:tcW w:w="2478" w:type="dxa"/>
            <w:noWrap w:val="0"/>
            <w:vAlign w:val="center"/>
          </w:tcPr>
          <w:p w14:paraId="58AE6D1D">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塔石片</w:t>
            </w:r>
          </w:p>
        </w:tc>
        <w:tc>
          <w:tcPr>
            <w:tcW w:w="2951" w:type="dxa"/>
            <w:noWrap w:val="0"/>
            <w:vAlign w:val="center"/>
          </w:tcPr>
          <w:p w14:paraId="7A57CE40">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0858B5C1">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6D29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453" w:type="dxa"/>
            <w:noWrap w:val="0"/>
            <w:vAlign w:val="center"/>
          </w:tcPr>
          <w:p w14:paraId="157D7596">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7</w:t>
            </w:r>
          </w:p>
        </w:tc>
        <w:tc>
          <w:tcPr>
            <w:tcW w:w="2478" w:type="dxa"/>
            <w:noWrap w:val="0"/>
            <w:vAlign w:val="center"/>
          </w:tcPr>
          <w:p w14:paraId="3D153DFF">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横山片</w:t>
            </w:r>
          </w:p>
        </w:tc>
        <w:tc>
          <w:tcPr>
            <w:tcW w:w="2951" w:type="dxa"/>
            <w:noWrap w:val="0"/>
            <w:vAlign w:val="center"/>
          </w:tcPr>
          <w:p w14:paraId="1F1A3482">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0A63F699">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r w14:paraId="73FBF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453" w:type="dxa"/>
            <w:noWrap w:val="0"/>
            <w:vAlign w:val="center"/>
          </w:tcPr>
          <w:p w14:paraId="6FD4A064">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8</w:t>
            </w:r>
          </w:p>
        </w:tc>
        <w:tc>
          <w:tcPr>
            <w:tcW w:w="2478" w:type="dxa"/>
            <w:noWrap w:val="0"/>
            <w:vAlign w:val="center"/>
          </w:tcPr>
          <w:p w14:paraId="23843EB9">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t>湖镇片</w:t>
            </w:r>
          </w:p>
        </w:tc>
        <w:tc>
          <w:tcPr>
            <w:tcW w:w="2951" w:type="dxa"/>
            <w:noWrap w:val="0"/>
            <w:vAlign w:val="center"/>
          </w:tcPr>
          <w:p w14:paraId="713A2F29">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c>
          <w:tcPr>
            <w:tcW w:w="2256" w:type="dxa"/>
            <w:noWrap w:val="0"/>
            <w:vAlign w:val="center"/>
          </w:tcPr>
          <w:p w14:paraId="7595CDA1">
            <w:pPr>
              <w:numPr>
                <w:ilvl w:val="0"/>
                <w:numId w:val="0"/>
              </w:numPr>
              <w:spacing w:line="240" w:lineRule="auto"/>
              <w:jc w:val="center"/>
              <w:rPr>
                <w:rFonts w:hint="eastAsia" w:ascii="宋体" w:hAnsi="宋体" w:eastAsia="宋体" w:cs="宋体"/>
                <w:bCs/>
                <w:color w:val="000000" w:themeColor="text1"/>
                <w:sz w:val="24"/>
                <w:szCs w:val="24"/>
                <w:highlight w:val="none"/>
                <w:vertAlign w:val="baseline"/>
                <w:lang w:val="en-US" w:eastAsia="zh-CN"/>
                <w14:textFill>
                  <w14:solidFill>
                    <w14:schemeClr w14:val="tx1"/>
                  </w14:solidFill>
                </w14:textFill>
              </w:rPr>
            </w:pPr>
          </w:p>
        </w:tc>
      </w:tr>
    </w:tbl>
    <w:p w14:paraId="18CBB2FC">
      <w:pPr>
        <w:spacing w:line="240" w:lineRule="auto"/>
        <w:ind w:firstLine="420" w:firstLineChars="20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2、我方已详细审核全部招标文件，包括修改文件及有关附件。</w:t>
      </w:r>
    </w:p>
    <w:p w14:paraId="24C5F943">
      <w:pPr>
        <w:spacing w:line="240" w:lineRule="auto"/>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 xml:space="preserve">    3、一旦我方中标，我方保证按合同协议书中的时间内开始施工。</w:t>
      </w:r>
    </w:p>
    <w:p w14:paraId="6F384F75">
      <w:pPr>
        <w:spacing w:line="240" w:lineRule="auto"/>
        <w:ind w:firstLine="420" w:firstLineChars="200"/>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4、除非另外达成协议并生效，你方的中标通知书和本投标文件将成为约束双方的合同文件的组成部分。</w:t>
      </w:r>
    </w:p>
    <w:p w14:paraId="7C17557E">
      <w:pPr>
        <w:spacing w:line="240" w:lineRule="auto"/>
        <w:ind w:firstLine="420" w:firstLineChars="200"/>
        <w:rPr>
          <w:rFonts w:hint="eastAsia" w:ascii="宋体" w:hAnsi="宋体" w:eastAsia="宋体" w:cs="宋体"/>
          <w:bCs/>
          <w:color w:val="000000" w:themeColor="text1"/>
          <w:sz w:val="21"/>
          <w:szCs w:val="21"/>
          <w:highlight w:val="none"/>
          <w:lang w:val="en-US"/>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5、报价须知：</w:t>
      </w:r>
      <w:r>
        <w:rPr>
          <w:rFonts w:hint="eastAsia" w:ascii="宋体" w:hAnsi="宋体" w:eastAsia="宋体" w:cs="宋体"/>
          <w:b/>
          <w:bCs w:val="0"/>
          <w:color w:val="000000" w:themeColor="text1"/>
          <w:sz w:val="21"/>
          <w:szCs w:val="21"/>
          <w:highlight w:val="none"/>
          <w:lang w:val="en-US" w:eastAsia="zh-CN"/>
          <w14:textFill>
            <w14:solidFill>
              <w14:schemeClr w14:val="tx1"/>
            </w14:solidFill>
          </w14:textFill>
        </w:rPr>
        <w:t>投标人可同时参与所有标段的投标并报价，也可有选择性的参与。如投标人不参与某标段的投标，则无需在该标段报价栏填写报价。城区片下浮率数值必须高于10%（区间值10%-15%），其它片区下浮率数值必须高于8%（区间值8%-13%），最多保留2位小数。</w:t>
      </w:r>
    </w:p>
    <w:p w14:paraId="272EA580">
      <w:pPr>
        <w:spacing w:line="480" w:lineRule="auto"/>
        <w:ind w:firstLine="3080" w:firstLineChars="1100"/>
        <w:rPr>
          <w:rFonts w:hint="eastAsia" w:ascii="宋体" w:hAnsi="宋体" w:eastAsia="宋体" w:cs="宋体"/>
          <w:bCs/>
          <w:color w:val="000000" w:themeColor="text1"/>
          <w:sz w:val="28"/>
          <w:highlight w:val="none"/>
          <w14:textFill>
            <w14:solidFill>
              <w14:schemeClr w14:val="tx1"/>
            </w14:solidFill>
          </w14:textFill>
        </w:rPr>
      </w:pPr>
    </w:p>
    <w:p w14:paraId="252EE7DA">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Cs/>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投标人：</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（盖章）</w:t>
      </w:r>
    </w:p>
    <w:p w14:paraId="671F0DC3">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法定代表人或其委托代理人</w:t>
      </w:r>
      <w:r>
        <w:rPr>
          <w:rFonts w:hint="eastAsia" w:ascii="宋体" w:hAnsi="宋体" w:cs="宋体"/>
          <w:bCs/>
          <w:color w:val="000000" w:themeColor="text1"/>
          <w:sz w:val="24"/>
          <w:szCs w:val="24"/>
          <w:highlight w:val="none"/>
          <w:lang w:eastAsia="zh-CN"/>
          <w14:textFill>
            <w14:solidFill>
              <w14:schemeClr w14:val="tx1"/>
            </w14:solidFill>
          </w14:textFill>
        </w:rPr>
        <w:t>：</w:t>
      </w:r>
      <w:r>
        <w:rPr>
          <w:rFonts w:hint="eastAsia" w:ascii="宋体" w:hAnsi="宋体" w:eastAsia="宋体" w:cs="宋体"/>
          <w:bCs/>
          <w:color w:val="000000" w:themeColor="text1"/>
          <w:sz w:val="24"/>
          <w:szCs w:val="24"/>
          <w:highlight w:val="non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 xml:space="preserve"> (签字或盖章)</w:t>
      </w:r>
    </w:p>
    <w:p w14:paraId="79C35541">
      <w:pPr>
        <w:spacing w:line="480" w:lineRule="auto"/>
        <w:ind w:right="560" w:firstLine="3960" w:firstLineChars="1650"/>
        <w:jc w:val="right"/>
        <w:rPr>
          <w:rFonts w:hint="eastAsia" w:ascii="宋体" w:hAnsi="宋体" w:eastAsia="宋体" w:cs="宋体"/>
          <w:b/>
          <w:bCs w:val="0"/>
          <w:color w:val="000000" w:themeColor="text1"/>
          <w:kern w:val="2"/>
          <w:sz w:val="24"/>
          <w:szCs w:val="24"/>
          <w:highlight w:val="none"/>
          <w:lang w:val="en-US" w:eastAsia="zh-CN" w:bidi="ar"/>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日期：</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月</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日</w:t>
      </w:r>
    </w:p>
    <w:p w14:paraId="0EAD2852">
      <w:pPr>
        <w:jc w:val="center"/>
        <w:rPr>
          <w:rFonts w:hint="eastAsia" w:ascii="宋体" w:hAnsi="宋体" w:eastAsia="宋体" w:cs="宋体"/>
          <w:color w:val="000000" w:themeColor="text1"/>
          <w:highlight w:val="none"/>
          <w14:textFill>
            <w14:solidFill>
              <w14:schemeClr w14:val="tx1"/>
            </w14:solidFill>
          </w14:textFill>
        </w:rPr>
        <w:sectPr>
          <w:footerReference r:id="rId12" w:type="first"/>
          <w:footerReference r:id="rId11" w:type="default"/>
          <w:pgSz w:w="11906" w:h="16838"/>
          <w:pgMar w:top="1304" w:right="1133" w:bottom="1304" w:left="1304" w:header="737" w:footer="850" w:gutter="0"/>
          <w:pgNumType w:fmt="decimal"/>
          <w:cols w:space="425" w:num="1"/>
          <w:titlePg/>
          <w:docGrid w:type="lines" w:linePitch="312" w:charSpace="0"/>
        </w:sectPr>
      </w:pPr>
    </w:p>
    <w:p w14:paraId="3DDF6398">
      <w:pPr>
        <w:spacing w:line="480" w:lineRule="auto"/>
        <w:jc w:val="cente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t>拟派项目组人员一览表</w:t>
      </w:r>
    </w:p>
    <w:p w14:paraId="42A3D5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项目名称：</w:t>
      </w:r>
    </w:p>
    <w:p w14:paraId="552B72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r>
        <w:rPr>
          <w:rFonts w:hint="eastAsia" w:ascii="宋体" w:hAnsi="宋体" w:eastAsia="宋体" w:cs="宋体"/>
          <w:b/>
          <w:color w:val="000000" w:themeColor="text1"/>
          <w:sz w:val="24"/>
          <w:szCs w:val="24"/>
          <w:highlight w:val="non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 xml:space="preserve">   </w:t>
      </w:r>
    </w:p>
    <w:tbl>
      <w:tblPr>
        <w:tblStyle w:val="27"/>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659"/>
        <w:gridCol w:w="1500"/>
        <w:gridCol w:w="2217"/>
        <w:gridCol w:w="1879"/>
        <w:gridCol w:w="1708"/>
      </w:tblGrid>
      <w:tr w14:paraId="2D6EA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33" w:type="dxa"/>
            <w:noWrap w:val="0"/>
            <w:vAlign w:val="center"/>
          </w:tcPr>
          <w:p w14:paraId="692C3BC5">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both"/>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序号</w:t>
            </w:r>
          </w:p>
        </w:tc>
        <w:tc>
          <w:tcPr>
            <w:tcW w:w="1659" w:type="dxa"/>
            <w:noWrap w:val="0"/>
            <w:vAlign w:val="center"/>
          </w:tcPr>
          <w:p w14:paraId="41650436">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姓名</w:t>
            </w:r>
          </w:p>
        </w:tc>
        <w:tc>
          <w:tcPr>
            <w:tcW w:w="1500" w:type="dxa"/>
            <w:noWrap w:val="0"/>
            <w:vAlign w:val="center"/>
          </w:tcPr>
          <w:p w14:paraId="2520E044">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职务</w:t>
            </w: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/工种</w:t>
            </w:r>
          </w:p>
        </w:tc>
        <w:tc>
          <w:tcPr>
            <w:tcW w:w="2217" w:type="dxa"/>
            <w:noWrap w:val="0"/>
            <w:vAlign w:val="center"/>
          </w:tcPr>
          <w:p w14:paraId="7E13539A">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eastAsia="宋体" w:cs="宋体"/>
                <w:b w:val="0"/>
                <w:bCs/>
                <w:color w:val="000000" w:themeColor="text1"/>
                <w:sz w:val="24"/>
                <w:szCs w:val="24"/>
                <w:highlight w:val="none"/>
                <w:lang w:val="en-US"/>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身份号码</w:t>
            </w:r>
          </w:p>
        </w:tc>
        <w:tc>
          <w:tcPr>
            <w:tcW w:w="1879" w:type="dxa"/>
            <w:noWrap w:val="0"/>
            <w:vAlign w:val="center"/>
          </w:tcPr>
          <w:p w14:paraId="4B763ED5">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eastAsia="宋体" w:cs="宋体"/>
                <w:b w:val="0"/>
                <w:bCs/>
                <w:color w:val="000000" w:themeColor="text1"/>
                <w:sz w:val="24"/>
                <w:szCs w:val="24"/>
                <w:highlight w:val="none"/>
                <w:lang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住址</w:t>
            </w:r>
          </w:p>
        </w:tc>
        <w:tc>
          <w:tcPr>
            <w:tcW w:w="1708" w:type="dxa"/>
            <w:noWrap w:val="0"/>
            <w:vAlign w:val="center"/>
          </w:tcPr>
          <w:p w14:paraId="13A9B427">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联系方式</w:t>
            </w:r>
          </w:p>
        </w:tc>
      </w:tr>
      <w:tr w14:paraId="72BA7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33" w:type="dxa"/>
            <w:noWrap w:val="0"/>
            <w:vAlign w:val="center"/>
          </w:tcPr>
          <w:p w14:paraId="4E1F2AF6">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1</w:t>
            </w:r>
          </w:p>
        </w:tc>
        <w:tc>
          <w:tcPr>
            <w:tcW w:w="1659" w:type="dxa"/>
            <w:noWrap w:val="0"/>
            <w:vAlign w:val="center"/>
          </w:tcPr>
          <w:p w14:paraId="5D4A52D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714020F9">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5B06DD1C">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70320EDE">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6C61CD75">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544DB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33" w:type="dxa"/>
            <w:noWrap w:val="0"/>
            <w:vAlign w:val="center"/>
          </w:tcPr>
          <w:p w14:paraId="3C0C36E7">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2</w:t>
            </w:r>
          </w:p>
        </w:tc>
        <w:tc>
          <w:tcPr>
            <w:tcW w:w="1659" w:type="dxa"/>
            <w:noWrap w:val="0"/>
            <w:vAlign w:val="center"/>
          </w:tcPr>
          <w:p w14:paraId="2D9F9E7C">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5DFBB463">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1F637E39">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0C4DB2FF">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79586DF3">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008CF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33" w:type="dxa"/>
            <w:noWrap w:val="0"/>
            <w:vAlign w:val="center"/>
          </w:tcPr>
          <w:p w14:paraId="0EC7A836">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3</w:t>
            </w:r>
          </w:p>
        </w:tc>
        <w:tc>
          <w:tcPr>
            <w:tcW w:w="1659" w:type="dxa"/>
            <w:noWrap w:val="0"/>
            <w:vAlign w:val="center"/>
          </w:tcPr>
          <w:p w14:paraId="0AE217CD">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0AD13F1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0E908B54">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5DBA97B3">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5D295746">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6A261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33" w:type="dxa"/>
            <w:noWrap w:val="0"/>
            <w:vAlign w:val="center"/>
          </w:tcPr>
          <w:p w14:paraId="3FB9152C">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4</w:t>
            </w:r>
          </w:p>
        </w:tc>
        <w:tc>
          <w:tcPr>
            <w:tcW w:w="1659" w:type="dxa"/>
            <w:noWrap w:val="0"/>
            <w:vAlign w:val="center"/>
          </w:tcPr>
          <w:p w14:paraId="5FE3ECE2">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1ACCE71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5FC20003">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024656E7">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0159BE31">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100A7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33" w:type="dxa"/>
            <w:noWrap w:val="0"/>
            <w:vAlign w:val="center"/>
          </w:tcPr>
          <w:p w14:paraId="790E4B55">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5</w:t>
            </w:r>
          </w:p>
        </w:tc>
        <w:tc>
          <w:tcPr>
            <w:tcW w:w="1659" w:type="dxa"/>
            <w:noWrap w:val="0"/>
            <w:vAlign w:val="center"/>
          </w:tcPr>
          <w:p w14:paraId="608FD75F">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57E8B0A6">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2C4893D4">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284CA749">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6D3DB5B9">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40062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33" w:type="dxa"/>
            <w:noWrap w:val="0"/>
            <w:vAlign w:val="center"/>
          </w:tcPr>
          <w:p w14:paraId="29F642C6">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6</w:t>
            </w:r>
          </w:p>
        </w:tc>
        <w:tc>
          <w:tcPr>
            <w:tcW w:w="1659" w:type="dxa"/>
            <w:noWrap w:val="0"/>
            <w:vAlign w:val="center"/>
          </w:tcPr>
          <w:p w14:paraId="105053FB">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6000EB3C">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26E9BE69">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337A6DBC">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1B24A6E1">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74E72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33" w:type="dxa"/>
            <w:noWrap w:val="0"/>
            <w:vAlign w:val="center"/>
          </w:tcPr>
          <w:p w14:paraId="3F415C5F">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w:t>
            </w:r>
          </w:p>
        </w:tc>
        <w:tc>
          <w:tcPr>
            <w:tcW w:w="1659" w:type="dxa"/>
            <w:noWrap w:val="0"/>
            <w:vAlign w:val="center"/>
          </w:tcPr>
          <w:p w14:paraId="618A4715">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71F2BF08">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5AE6A9EE">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10C36187">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37B5E6D2">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0E906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33" w:type="dxa"/>
            <w:noWrap w:val="0"/>
            <w:vAlign w:val="center"/>
          </w:tcPr>
          <w:p w14:paraId="7B7126DF">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9" w:type="dxa"/>
            <w:noWrap w:val="0"/>
            <w:vAlign w:val="center"/>
          </w:tcPr>
          <w:p w14:paraId="73FE79F6">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378D73C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1ECD0471">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443F19A4">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30C2F617">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4AB4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833" w:type="dxa"/>
            <w:noWrap w:val="0"/>
            <w:vAlign w:val="center"/>
          </w:tcPr>
          <w:p w14:paraId="252E4235">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9" w:type="dxa"/>
            <w:noWrap w:val="0"/>
            <w:vAlign w:val="center"/>
          </w:tcPr>
          <w:p w14:paraId="47D80D33">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2C9E9F67">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2EA457C3">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7DF9B228">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7CE224ED">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2C21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833" w:type="dxa"/>
            <w:noWrap w:val="0"/>
            <w:vAlign w:val="center"/>
          </w:tcPr>
          <w:p w14:paraId="0641BC9C">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9" w:type="dxa"/>
            <w:noWrap w:val="0"/>
            <w:vAlign w:val="center"/>
          </w:tcPr>
          <w:p w14:paraId="60263D53">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00" w:type="dxa"/>
            <w:noWrap w:val="0"/>
            <w:vAlign w:val="center"/>
          </w:tcPr>
          <w:p w14:paraId="6EDFAC0F">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2217" w:type="dxa"/>
            <w:noWrap w:val="0"/>
            <w:vAlign w:val="center"/>
          </w:tcPr>
          <w:p w14:paraId="04A1E141">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879" w:type="dxa"/>
            <w:noWrap w:val="0"/>
            <w:vAlign w:val="center"/>
          </w:tcPr>
          <w:p w14:paraId="4C285A30">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708" w:type="dxa"/>
            <w:noWrap w:val="0"/>
            <w:vAlign w:val="center"/>
          </w:tcPr>
          <w:p w14:paraId="1DB9D800">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bl>
    <w:p w14:paraId="0E1D6D89">
      <w:pPr>
        <w:ind w:firstLine="3780" w:firstLineChars="1800"/>
        <w:rPr>
          <w:rFonts w:hint="eastAsia" w:ascii="宋体" w:hAnsi="宋体" w:eastAsia="宋体" w:cs="宋体"/>
          <w:color w:val="000000" w:themeColor="text1"/>
          <w:highlight w:val="none"/>
          <w14:textFill>
            <w14:solidFill>
              <w14:schemeClr w14:val="tx1"/>
            </w14:solidFill>
          </w14:textFill>
        </w:rPr>
      </w:pPr>
    </w:p>
    <w:p w14:paraId="69BF0A35">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宋体" w:hAnsi="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注：须提供项目组人员身份证原件扫描件及意外险保单原件扫描件</w:t>
      </w:r>
      <w:r>
        <w:rPr>
          <w:rFonts w:hint="eastAsia" w:ascii="宋体" w:hAnsi="宋体" w:cs="宋体"/>
          <w:b w:val="0"/>
          <w:bCs/>
          <w:color w:val="000000" w:themeColor="text1"/>
          <w:sz w:val="24"/>
          <w:szCs w:val="24"/>
          <w:highlight w:val="none"/>
          <w:lang w:val="en-US" w:eastAsia="zh-CN"/>
          <w14:textFill>
            <w14:solidFill>
              <w14:schemeClr w14:val="tx1"/>
            </w14:solidFill>
          </w14:textFill>
        </w:rPr>
        <w:t>。</w:t>
      </w:r>
    </w:p>
    <w:p w14:paraId="5553A91E">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宋体" w:hAnsi="宋体" w:cs="宋体"/>
          <w:b w:val="0"/>
          <w:bCs/>
          <w:color w:val="000000" w:themeColor="text1"/>
          <w:sz w:val="24"/>
          <w:szCs w:val="24"/>
          <w:highlight w:val="none"/>
          <w:lang w:val="en-US" w:eastAsia="zh-CN"/>
          <w14:textFill>
            <w14:solidFill>
              <w14:schemeClr w14:val="tx1"/>
            </w14:solidFill>
          </w14:textFill>
        </w:rPr>
      </w:pPr>
    </w:p>
    <w:p w14:paraId="1C62EF4D">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宋体" w:hAnsi="宋体" w:cs="宋体"/>
          <w:b w:val="0"/>
          <w:bCs/>
          <w:color w:val="000000" w:themeColor="text1"/>
          <w:sz w:val="24"/>
          <w:szCs w:val="24"/>
          <w:highlight w:val="none"/>
          <w:lang w:val="en-US" w:eastAsia="zh-CN"/>
          <w14:textFill>
            <w14:solidFill>
              <w14:schemeClr w14:val="tx1"/>
            </w14:solidFill>
          </w14:textFill>
        </w:rPr>
      </w:pPr>
    </w:p>
    <w:p w14:paraId="265DA540">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Cs/>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投标人：</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（盖章）</w:t>
      </w:r>
    </w:p>
    <w:p w14:paraId="27380743">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法定代表人或其委托代理人</w:t>
      </w:r>
      <w:r>
        <w:rPr>
          <w:rFonts w:hint="eastAsia" w:ascii="宋体" w:hAnsi="宋体" w:cs="宋体"/>
          <w:bCs/>
          <w:color w:val="000000" w:themeColor="text1"/>
          <w:sz w:val="24"/>
          <w:szCs w:val="24"/>
          <w:highlight w:val="none"/>
          <w:lang w:eastAsia="zh-CN"/>
          <w14:textFill>
            <w14:solidFill>
              <w14:schemeClr w14:val="tx1"/>
            </w14:solidFill>
          </w14:textFill>
        </w:rPr>
        <w:t>：</w:t>
      </w:r>
      <w:r>
        <w:rPr>
          <w:rFonts w:hint="eastAsia" w:ascii="宋体" w:hAnsi="宋体" w:eastAsia="宋体" w:cs="宋体"/>
          <w:bCs/>
          <w:color w:val="000000" w:themeColor="text1"/>
          <w:sz w:val="24"/>
          <w:szCs w:val="24"/>
          <w:highlight w:val="non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 xml:space="preserve"> (签字或盖章)</w:t>
      </w:r>
    </w:p>
    <w:p w14:paraId="08AD0B91">
      <w:pPr>
        <w:spacing w:line="480" w:lineRule="auto"/>
        <w:ind w:right="560" w:firstLine="3960" w:firstLineChars="1650"/>
        <w:jc w:val="right"/>
        <w:rPr>
          <w:rFonts w:hint="eastAsia" w:ascii="宋体" w:hAnsi="宋体" w:eastAsia="宋体" w:cs="宋体"/>
          <w:b/>
          <w:bCs w:val="0"/>
          <w:color w:val="000000" w:themeColor="text1"/>
          <w:kern w:val="2"/>
          <w:sz w:val="24"/>
          <w:szCs w:val="24"/>
          <w:highlight w:val="none"/>
          <w:lang w:val="en-US" w:eastAsia="zh-CN" w:bidi="ar"/>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日期：</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月</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日</w:t>
      </w:r>
    </w:p>
    <w:p w14:paraId="3469E892">
      <w:pPr>
        <w:pStyle w:val="2"/>
        <w:rPr>
          <w:rFonts w:hint="eastAsia"/>
          <w:color w:val="000000" w:themeColor="text1"/>
          <w:highlight w:val="none"/>
          <w14:textFill>
            <w14:solidFill>
              <w14:schemeClr w14:val="tx1"/>
            </w14:solidFill>
          </w14:textFill>
        </w:rPr>
        <w:sectPr>
          <w:pgSz w:w="11906" w:h="16838"/>
          <w:pgMar w:top="1304" w:right="1133" w:bottom="1304" w:left="1304" w:header="737" w:footer="850" w:gutter="0"/>
          <w:pgNumType w:fmt="decimal"/>
          <w:cols w:space="425" w:num="1"/>
          <w:titlePg/>
          <w:docGrid w:type="lines" w:linePitch="312" w:charSpace="0"/>
        </w:sectPr>
      </w:pPr>
    </w:p>
    <w:p w14:paraId="6091AF66">
      <w:pPr>
        <w:spacing w:line="480" w:lineRule="auto"/>
        <w:jc w:val="center"/>
        <w:rPr>
          <w:rFonts w:hint="eastAsia" w:ascii="宋体" w:hAnsi="宋体" w:eastAsia="宋体" w:cs="宋体"/>
          <w:b/>
          <w:bCs w:val="0"/>
          <w:color w:val="000000" w:themeColor="text1"/>
          <w:sz w:val="36"/>
          <w:szCs w:val="36"/>
          <w:highlight w:val="none"/>
          <w:lang w:val="zh-CN" w:eastAsia="zh-CN"/>
          <w14:textFill>
            <w14:solidFill>
              <w14:schemeClr w14:val="tx1"/>
            </w14:solidFill>
          </w14:textFill>
        </w:rPr>
      </w:pPr>
      <w:r>
        <w:rPr>
          <w:rFonts w:hint="eastAsia" w:ascii="宋体" w:hAnsi="宋体" w:eastAsia="宋体" w:cs="宋体"/>
          <w:b/>
          <w:bCs w:val="0"/>
          <w:color w:val="000000" w:themeColor="text1"/>
          <w:sz w:val="36"/>
          <w:szCs w:val="36"/>
          <w:highlight w:val="none"/>
          <w:lang w:val="en-US" w:eastAsia="zh-CN"/>
          <w14:textFill>
            <w14:solidFill>
              <w14:schemeClr w14:val="tx1"/>
            </w14:solidFill>
          </w14:textFill>
        </w:rPr>
        <w:t>拟投入机械设备</w:t>
      </w:r>
      <w:r>
        <w:rPr>
          <w:rFonts w:hint="eastAsia" w:ascii="宋体" w:hAnsi="宋体" w:eastAsia="宋体" w:cs="宋体"/>
          <w:b/>
          <w:bCs w:val="0"/>
          <w:color w:val="000000" w:themeColor="text1"/>
          <w:sz w:val="36"/>
          <w:szCs w:val="36"/>
          <w:highlight w:val="none"/>
          <w:lang w:val="zh-CN" w:eastAsia="zh-CN"/>
          <w14:textFill>
            <w14:solidFill>
              <w14:schemeClr w14:val="tx1"/>
            </w14:solidFill>
          </w14:textFill>
        </w:rPr>
        <w:t>一览表</w:t>
      </w:r>
    </w:p>
    <w:p w14:paraId="434B92AF">
      <w:pPr>
        <w:snapToGrid w:val="0"/>
        <w:spacing w:before="72" w:after="72" w:line="360" w:lineRule="exact"/>
        <w:ind w:firstLine="240" w:firstLineChars="1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项目名称：                                               </w:t>
      </w:r>
    </w:p>
    <w:p w14:paraId="6CD71B1E">
      <w:pPr>
        <w:snapToGrid w:val="0"/>
        <w:spacing w:before="72" w:after="72" w:line="360" w:lineRule="exact"/>
        <w:ind w:firstLine="240" w:firstLineChars="100"/>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项目编号：</w:t>
      </w:r>
    </w:p>
    <w:tbl>
      <w:tblPr>
        <w:tblStyle w:val="27"/>
        <w:tblW w:w="99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576"/>
        <w:gridCol w:w="1580"/>
        <w:gridCol w:w="1409"/>
        <w:gridCol w:w="1470"/>
        <w:gridCol w:w="1651"/>
        <w:gridCol w:w="1532"/>
      </w:tblGrid>
      <w:tr w14:paraId="2ADF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757" w:type="dxa"/>
            <w:noWrap w:val="0"/>
            <w:vAlign w:val="center"/>
          </w:tcPr>
          <w:p w14:paraId="354B5539">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both"/>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序号</w:t>
            </w:r>
          </w:p>
        </w:tc>
        <w:tc>
          <w:tcPr>
            <w:tcW w:w="1576" w:type="dxa"/>
            <w:noWrap w:val="0"/>
            <w:vAlign w:val="center"/>
          </w:tcPr>
          <w:p w14:paraId="1464327F">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机械或</w:t>
            </w:r>
          </w:p>
          <w:p w14:paraId="47967D01">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设备名称</w:t>
            </w:r>
          </w:p>
        </w:tc>
        <w:tc>
          <w:tcPr>
            <w:tcW w:w="1580" w:type="dxa"/>
            <w:noWrap w:val="0"/>
            <w:vAlign w:val="center"/>
          </w:tcPr>
          <w:p w14:paraId="78E7E830">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型号规格</w:t>
            </w:r>
          </w:p>
        </w:tc>
        <w:tc>
          <w:tcPr>
            <w:tcW w:w="1409" w:type="dxa"/>
            <w:noWrap w:val="0"/>
            <w:vAlign w:val="center"/>
          </w:tcPr>
          <w:p w14:paraId="094175E2">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数量</w:t>
            </w:r>
          </w:p>
        </w:tc>
        <w:tc>
          <w:tcPr>
            <w:tcW w:w="1470" w:type="dxa"/>
            <w:noWrap w:val="0"/>
            <w:vAlign w:val="center"/>
          </w:tcPr>
          <w:p w14:paraId="32F2722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国别</w:t>
            </w:r>
          </w:p>
          <w:p w14:paraId="016845F5">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产地</w:t>
            </w:r>
          </w:p>
        </w:tc>
        <w:tc>
          <w:tcPr>
            <w:tcW w:w="1651" w:type="dxa"/>
            <w:noWrap w:val="0"/>
            <w:vAlign w:val="center"/>
          </w:tcPr>
          <w:p w14:paraId="5A92F26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制造</w:t>
            </w:r>
          </w:p>
          <w:p w14:paraId="28EF86B9">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leftChars="0" w:right="0" w:firstLine="0" w:firstLineChars="0"/>
              <w:jc w:val="center"/>
              <w:textAlignment w:val="auto"/>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年份</w:t>
            </w:r>
          </w:p>
        </w:tc>
        <w:tc>
          <w:tcPr>
            <w:tcW w:w="1532" w:type="dxa"/>
            <w:noWrap w:val="0"/>
            <w:vAlign w:val="center"/>
          </w:tcPr>
          <w:p w14:paraId="1D154671">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备注</w:t>
            </w:r>
          </w:p>
        </w:tc>
      </w:tr>
      <w:tr w14:paraId="22565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57" w:type="dxa"/>
            <w:noWrap w:val="0"/>
            <w:vAlign w:val="center"/>
          </w:tcPr>
          <w:p w14:paraId="6A8369B7">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1</w:t>
            </w:r>
          </w:p>
        </w:tc>
        <w:tc>
          <w:tcPr>
            <w:tcW w:w="1576" w:type="dxa"/>
            <w:noWrap w:val="0"/>
            <w:vAlign w:val="center"/>
          </w:tcPr>
          <w:p w14:paraId="4717C69F">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01EA9400">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444FB5DC">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6D2FABDC">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283339E4">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06D15B41">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30417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57" w:type="dxa"/>
            <w:noWrap w:val="0"/>
            <w:vAlign w:val="center"/>
          </w:tcPr>
          <w:p w14:paraId="772E04B3">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2</w:t>
            </w:r>
          </w:p>
        </w:tc>
        <w:tc>
          <w:tcPr>
            <w:tcW w:w="1576" w:type="dxa"/>
            <w:noWrap w:val="0"/>
            <w:vAlign w:val="center"/>
          </w:tcPr>
          <w:p w14:paraId="31E939ED">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1E559766">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06827801">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657E70BE">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66E4A530">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704492A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27B58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57" w:type="dxa"/>
            <w:noWrap w:val="0"/>
            <w:vAlign w:val="center"/>
          </w:tcPr>
          <w:p w14:paraId="4C4F5181">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3</w:t>
            </w:r>
          </w:p>
        </w:tc>
        <w:tc>
          <w:tcPr>
            <w:tcW w:w="1576" w:type="dxa"/>
            <w:noWrap w:val="0"/>
            <w:vAlign w:val="center"/>
          </w:tcPr>
          <w:p w14:paraId="1E8394C4">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12F43748">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35598022">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4862D6D2">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50400F6B">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7DDC2470">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72663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57" w:type="dxa"/>
            <w:noWrap w:val="0"/>
            <w:vAlign w:val="center"/>
          </w:tcPr>
          <w:p w14:paraId="70621BDB">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4</w:t>
            </w:r>
          </w:p>
        </w:tc>
        <w:tc>
          <w:tcPr>
            <w:tcW w:w="1576" w:type="dxa"/>
            <w:noWrap w:val="0"/>
            <w:vAlign w:val="center"/>
          </w:tcPr>
          <w:p w14:paraId="6BB3D53D">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793F564D">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2D916A82">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1EE0612A">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322792DF">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17E5907F">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32563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57" w:type="dxa"/>
            <w:noWrap w:val="0"/>
            <w:vAlign w:val="center"/>
          </w:tcPr>
          <w:p w14:paraId="1408811D">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5</w:t>
            </w:r>
          </w:p>
        </w:tc>
        <w:tc>
          <w:tcPr>
            <w:tcW w:w="1576" w:type="dxa"/>
            <w:noWrap w:val="0"/>
            <w:vAlign w:val="center"/>
          </w:tcPr>
          <w:p w14:paraId="5A6ACE8D">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2514B60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08AC88B8">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438F01EF">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66B08098">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625DD982">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648D2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57" w:type="dxa"/>
            <w:noWrap w:val="0"/>
            <w:vAlign w:val="center"/>
          </w:tcPr>
          <w:p w14:paraId="2E1CDDEE">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color w:val="000000" w:themeColor="text1"/>
                <w:sz w:val="24"/>
                <w:szCs w:val="24"/>
                <w:highlight w:val="none"/>
                <w:lang w:val="en-US" w:eastAsia="zh-CN"/>
                <w14:textFill>
                  <w14:solidFill>
                    <w14:schemeClr w14:val="tx1"/>
                  </w14:solidFill>
                </w14:textFill>
              </w:rPr>
              <w:t>6</w:t>
            </w:r>
          </w:p>
        </w:tc>
        <w:tc>
          <w:tcPr>
            <w:tcW w:w="1576" w:type="dxa"/>
            <w:noWrap w:val="0"/>
            <w:vAlign w:val="center"/>
          </w:tcPr>
          <w:p w14:paraId="0F79B5DA">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6CF46309">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23D1980D">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68E97EFE">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1896D0A7">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2012508B">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2D365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7" w:type="dxa"/>
            <w:noWrap w:val="0"/>
            <w:vAlign w:val="center"/>
          </w:tcPr>
          <w:p w14:paraId="47443BCF">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r>
              <w:rPr>
                <w:rFonts w:hint="eastAsia" w:ascii="宋体" w:hAnsi="宋体" w:eastAsia="宋体" w:cs="宋体"/>
                <w:b w:val="0"/>
                <w:bCs/>
                <w:color w:val="000000" w:themeColor="text1"/>
                <w:sz w:val="24"/>
                <w:szCs w:val="24"/>
                <w:highlight w:val="none"/>
                <w14:textFill>
                  <w14:solidFill>
                    <w14:schemeClr w14:val="tx1"/>
                  </w14:solidFill>
                </w14:textFill>
              </w:rPr>
              <w:t>…</w:t>
            </w:r>
          </w:p>
        </w:tc>
        <w:tc>
          <w:tcPr>
            <w:tcW w:w="1576" w:type="dxa"/>
            <w:noWrap w:val="0"/>
            <w:vAlign w:val="center"/>
          </w:tcPr>
          <w:p w14:paraId="76A94F0A">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7BF6950C">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2966A65A">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0EFB4BC4">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0F1CA8FA">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1B2F891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6F2DF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7" w:type="dxa"/>
            <w:noWrap w:val="0"/>
            <w:vAlign w:val="center"/>
          </w:tcPr>
          <w:p w14:paraId="29E67FB9">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76" w:type="dxa"/>
            <w:noWrap w:val="0"/>
            <w:vAlign w:val="center"/>
          </w:tcPr>
          <w:p w14:paraId="554AD55E">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47EAC562">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1F213AB9">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6705A300">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79C7766E">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25EC6C8C">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r w14:paraId="78BA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7" w:type="dxa"/>
            <w:noWrap w:val="0"/>
            <w:vAlign w:val="center"/>
          </w:tcPr>
          <w:p w14:paraId="512B4FE4">
            <w:pPr>
              <w:keepNext w:val="0"/>
              <w:keepLines w:val="0"/>
              <w:suppressLineNumbers w:val="0"/>
              <w:spacing w:before="156" w:beforeAutospacing="0" w:after="0" w:afterAutospacing="0"/>
              <w:ind w:left="0" w:leftChars="0" w:right="0" w:firstLine="0" w:firstLineChars="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76" w:type="dxa"/>
            <w:noWrap w:val="0"/>
            <w:vAlign w:val="center"/>
          </w:tcPr>
          <w:p w14:paraId="0AC008A9">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80" w:type="dxa"/>
            <w:noWrap w:val="0"/>
            <w:vAlign w:val="center"/>
          </w:tcPr>
          <w:p w14:paraId="2189478F">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09" w:type="dxa"/>
            <w:noWrap w:val="0"/>
            <w:vAlign w:val="center"/>
          </w:tcPr>
          <w:p w14:paraId="41D603C4">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470" w:type="dxa"/>
            <w:noWrap w:val="0"/>
            <w:vAlign w:val="center"/>
          </w:tcPr>
          <w:p w14:paraId="06D911F5">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651" w:type="dxa"/>
            <w:noWrap w:val="0"/>
            <w:vAlign w:val="center"/>
          </w:tcPr>
          <w:p w14:paraId="4DA32BA0">
            <w:pPr>
              <w:keepNext w:val="0"/>
              <w:keepLines w:val="0"/>
              <w:suppressLineNumbers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c>
          <w:tcPr>
            <w:tcW w:w="1532" w:type="dxa"/>
            <w:noWrap w:val="0"/>
            <w:vAlign w:val="center"/>
          </w:tcPr>
          <w:p w14:paraId="52069EEB">
            <w:pPr>
              <w:keepNext w:val="0"/>
              <w:keepLines w:val="0"/>
              <w:suppressLineNumbers w:val="0"/>
              <w:autoSpaceDE w:val="0"/>
              <w:autoSpaceDN w:val="0"/>
              <w:adjustRightInd w:val="0"/>
              <w:spacing w:before="156" w:beforeAutospacing="0" w:after="0" w:afterAutospacing="0"/>
              <w:ind w:left="0" w:right="0"/>
              <w:jc w:val="center"/>
              <w:rPr>
                <w:rFonts w:hint="eastAsia" w:ascii="宋体" w:hAnsi="宋体" w:eastAsia="宋体" w:cs="宋体"/>
                <w:b w:val="0"/>
                <w:bCs/>
                <w:color w:val="000000" w:themeColor="text1"/>
                <w:sz w:val="24"/>
                <w:szCs w:val="24"/>
                <w:highlight w:val="none"/>
                <w14:textFill>
                  <w14:solidFill>
                    <w14:schemeClr w14:val="tx1"/>
                  </w14:solidFill>
                </w14:textFill>
              </w:rPr>
            </w:pPr>
          </w:p>
        </w:tc>
      </w:tr>
    </w:tbl>
    <w:p w14:paraId="297F7B3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bCs/>
          <w:color w:val="000000" w:themeColor="text1"/>
          <w:sz w:val="24"/>
          <w:szCs w:val="24"/>
          <w:highlight w:val="none"/>
          <w:lang w:val="en-US" w:eastAsia="zh-CN"/>
          <w14:textFill>
            <w14:solidFill>
              <w14:schemeClr w14:val="tx1"/>
            </w14:solidFill>
          </w14:textFill>
        </w:rPr>
      </w:pPr>
      <w:r>
        <w:rPr>
          <w:rFonts w:hint="eastAsia" w:ascii="宋体" w:hAnsi="宋体" w:cs="宋体"/>
          <w:bCs/>
          <w:color w:val="000000" w:themeColor="text1"/>
          <w:sz w:val="24"/>
          <w:szCs w:val="24"/>
          <w:highlight w:val="none"/>
          <w:lang w:val="en-US" w:eastAsia="zh-CN"/>
          <w14:textFill>
            <w14:solidFill>
              <w14:schemeClr w14:val="tx1"/>
            </w14:solidFill>
          </w14:textFill>
        </w:rPr>
        <w:t>注</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w:t>
      </w:r>
      <w:r>
        <w:rPr>
          <w:rFonts w:hint="eastAsia" w:ascii="宋体" w:hAnsi="宋体" w:cs="宋体"/>
          <w:bCs/>
          <w:color w:val="000000" w:themeColor="text1"/>
          <w:sz w:val="24"/>
          <w:szCs w:val="24"/>
          <w:highlight w:val="none"/>
          <w:lang w:val="en-US" w:eastAsia="zh-CN"/>
          <w14:textFill>
            <w14:solidFill>
              <w14:schemeClr w14:val="tx1"/>
            </w14:solidFill>
          </w14:textFill>
        </w:rPr>
        <w:t>相关工具</w:t>
      </w:r>
      <w:r>
        <w:rPr>
          <w:rFonts w:hint="eastAsia" w:ascii="宋体" w:hAnsi="宋体" w:cs="宋体"/>
          <w:bCs/>
          <w:color w:val="000000" w:themeColor="text1"/>
          <w:sz w:val="24"/>
          <w:szCs w:val="24"/>
          <w:highlight w:val="none"/>
          <w:lang w:val="zh-CN" w:eastAsia="zh-CN"/>
          <w14:textFill>
            <w14:solidFill>
              <w14:schemeClr w14:val="tx1"/>
            </w14:solidFill>
          </w14:textFill>
        </w:rPr>
        <w:t>设备</w:t>
      </w:r>
      <w:r>
        <w:rPr>
          <w:rFonts w:hint="eastAsia" w:ascii="宋体" w:hAnsi="宋体" w:cs="宋体"/>
          <w:bCs/>
          <w:color w:val="000000" w:themeColor="text1"/>
          <w:sz w:val="24"/>
          <w:szCs w:val="24"/>
          <w:highlight w:val="none"/>
          <w:lang w:val="en-US" w:eastAsia="zh-CN"/>
          <w14:textFill>
            <w14:solidFill>
              <w14:schemeClr w14:val="tx1"/>
            </w14:solidFill>
          </w14:textFill>
        </w:rPr>
        <w:t>需提供发票扫描件或租赁合同扫描件，并提供相应工具设备图片。</w:t>
      </w:r>
    </w:p>
    <w:p w14:paraId="631B94E3">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Cs/>
          <w:color w:val="000000" w:themeColor="text1"/>
          <w:sz w:val="24"/>
          <w:szCs w:val="24"/>
          <w:highlight w:val="none"/>
          <w14:textFill>
            <w14:solidFill>
              <w14:schemeClr w14:val="tx1"/>
            </w14:solidFill>
          </w14:textFill>
        </w:rPr>
      </w:pPr>
    </w:p>
    <w:p w14:paraId="3E20A233">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Cs/>
          <w:color w:val="000000" w:themeColor="text1"/>
          <w:sz w:val="24"/>
          <w:szCs w:val="24"/>
          <w:highlight w:val="none"/>
          <w14:textFill>
            <w14:solidFill>
              <w14:schemeClr w14:val="tx1"/>
            </w14:solidFill>
          </w14:textFill>
        </w:rPr>
      </w:pPr>
    </w:p>
    <w:p w14:paraId="6EE485C8">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Cs/>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投标人：</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（盖章）</w:t>
      </w:r>
    </w:p>
    <w:p w14:paraId="557734F1">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法定代表人或其委托代理人</w:t>
      </w:r>
      <w:r>
        <w:rPr>
          <w:rFonts w:hint="eastAsia" w:ascii="宋体" w:hAnsi="宋体" w:cs="宋体"/>
          <w:bCs/>
          <w:color w:val="000000" w:themeColor="text1"/>
          <w:sz w:val="24"/>
          <w:szCs w:val="24"/>
          <w:highlight w:val="none"/>
          <w:lang w:eastAsia="zh-CN"/>
          <w14:textFill>
            <w14:solidFill>
              <w14:schemeClr w14:val="tx1"/>
            </w14:solidFill>
          </w14:textFill>
        </w:rPr>
        <w:t>：</w:t>
      </w:r>
      <w:r>
        <w:rPr>
          <w:rFonts w:hint="eastAsia" w:ascii="宋体" w:hAnsi="宋体" w:eastAsia="宋体" w:cs="宋体"/>
          <w:bCs/>
          <w:color w:val="000000" w:themeColor="text1"/>
          <w:sz w:val="24"/>
          <w:szCs w:val="24"/>
          <w:highlight w:val="non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 xml:space="preserve"> (签字或盖章)</w:t>
      </w:r>
    </w:p>
    <w:p w14:paraId="191F5064">
      <w:pPr>
        <w:spacing w:line="480" w:lineRule="auto"/>
        <w:ind w:right="560" w:firstLine="3960" w:firstLineChars="1650"/>
        <w:jc w:val="right"/>
        <w:rPr>
          <w:rFonts w:hint="eastAsia" w:ascii="宋体" w:hAnsi="宋体" w:eastAsia="宋体" w:cs="宋体"/>
          <w:b/>
          <w:bCs w:val="0"/>
          <w:color w:val="000000" w:themeColor="text1"/>
          <w:kern w:val="2"/>
          <w:sz w:val="24"/>
          <w:szCs w:val="24"/>
          <w:highlight w:val="none"/>
          <w:lang w:val="en-US" w:eastAsia="zh-CN" w:bidi="ar"/>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日期：</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月</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日</w:t>
      </w:r>
    </w:p>
    <w:p w14:paraId="5ECFE91B">
      <w:pPr>
        <w:rPr>
          <w:rFonts w:hint="eastAsia"/>
          <w:color w:val="000000" w:themeColor="text1"/>
          <w:highlight w:val="none"/>
          <w14:textFill>
            <w14:solidFill>
              <w14:schemeClr w14:val="tx1"/>
            </w14:solidFill>
          </w14:textFill>
        </w:rPr>
      </w:pPr>
    </w:p>
    <w:sectPr>
      <w:pgSz w:w="11906" w:h="16838"/>
      <w:pgMar w:top="1304" w:right="1133" w:bottom="1304" w:left="1304" w:header="737" w:footer="850"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S?o｡ﾀ?">
    <w:altName w:val="MS Gothic"/>
    <w:panose1 w:val="00000000000000000000"/>
    <w:charset w:val="80"/>
    <w:family w:val="moder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79326">
    <w:pPr>
      <w:pStyle w:val="14"/>
      <w:pBdr>
        <w:top w:val="single" w:color="auto" w:sz="4" w:space="1"/>
      </w:pBdr>
    </w:pPr>
  </w:p>
  <w:p w14:paraId="6D532D7E">
    <w:pPr>
      <w:pStyle w:val="14"/>
      <w:pBdr>
        <w:top w:val="single" w:color="auto" w:sz="4" w:space="1"/>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94B59">
    <w:pPr>
      <w:pStyle w:val="14"/>
      <w:jc w:val="right"/>
    </w:pPr>
    <w:r>
      <w:rPr>
        <w:rFonts w:hint="eastAsia" w:ascii="宋体" w:hAnsi="宋体"/>
        <w:b/>
        <w:color w:val="000000" w:themeColor="text1"/>
        <w:sz w:val="20"/>
        <w:szCs w:val="20"/>
        <w:u w:val="none"/>
        <w:lang w:eastAsia="zh-CN"/>
        <w14:textFill>
          <w14:solidFill>
            <w14:schemeClr w14:val="tx1"/>
          </w14:solidFill>
        </w14:textFill>
      </w:rPr>
      <w:t>杭州广厦建筑咨询有限公司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FC9F4">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F0F104">
                          <w:pPr>
                            <w:pStyle w:val="14"/>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33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CF0F104">
                    <w:pPr>
                      <w:pStyle w:val="14"/>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33</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C776B">
    <w:pPr>
      <w:pStyle w:val="14"/>
      <w:jc w:val="right"/>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97DE86">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597DE86">
                    <w:pPr>
                      <w:pStyle w:val="14"/>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b/>
        <w:color w:val="000000" w:themeColor="text1"/>
        <w:sz w:val="20"/>
        <w:szCs w:val="20"/>
        <w:u w:val="none"/>
        <w:lang w:eastAsia="zh-CN"/>
        <w14:textFill>
          <w14:solidFill>
            <w14:schemeClr w14:val="tx1"/>
          </w14:solidFill>
        </w14:textFill>
      </w:rPr>
      <w:t>杭州广厦建筑咨询有限公司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F6E58">
    <w:pPr>
      <w:pStyle w:val="14"/>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E5CDDA">
                          <w:pPr>
                            <w:pStyle w:val="1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BE5CDDA">
                    <w:pPr>
                      <w:pStyle w:val="1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85A">
    <w:pPr>
      <w:pStyle w:val="14"/>
      <w:tabs>
        <w:tab w:val="center" w:pos="6979"/>
        <w:tab w:val="clear" w:pos="4153"/>
        <w:tab w:val="clear" w:pos="8306"/>
      </w:tabs>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4AFCE3">
                          <w:pPr>
                            <w:pStyle w:val="1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F4AFCE3">
                    <w:pPr>
                      <w:pStyle w:val="14"/>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E42F0">
    <w:pPr>
      <w:pStyle w:val="14"/>
      <w:jc w:val="right"/>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848F21">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8848F21">
                    <w:pPr>
                      <w:pStyle w:val="14"/>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b/>
        <w:color w:val="000000" w:themeColor="text1"/>
        <w:sz w:val="20"/>
        <w:szCs w:val="20"/>
        <w:u w:val="none"/>
        <w:lang w:eastAsia="zh-CN"/>
        <w14:textFill>
          <w14:solidFill>
            <w14:schemeClr w14:val="tx1"/>
          </w14:solidFill>
        </w14:textFill>
      </w:rPr>
      <w:t>杭州广厦建筑咨询有限公司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9A4BE">
    <w:pPr>
      <w:pStyle w:val="14"/>
      <w:jc w:val="right"/>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0C271F">
                          <w:pPr>
                            <w:pStyle w:val="14"/>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A0C271F">
                    <w:pPr>
                      <w:pStyle w:val="14"/>
                    </w:pPr>
                    <w:r>
                      <w:fldChar w:fldCharType="begin"/>
                    </w:r>
                    <w:r>
                      <w:instrText xml:space="preserve"> PAGE  \* MERGEFORMAT </w:instrText>
                    </w:r>
                    <w:r>
                      <w:fldChar w:fldCharType="separate"/>
                    </w:r>
                    <w:r>
                      <w:t>27</w:t>
                    </w:r>
                    <w:r>
                      <w:fldChar w:fldCharType="end"/>
                    </w:r>
                  </w:p>
                </w:txbxContent>
              </v:textbox>
            </v:shape>
          </w:pict>
        </mc:Fallback>
      </mc:AlternateContent>
    </w:r>
    <w:r>
      <w:rPr>
        <w:rFonts w:hint="eastAsia" w:ascii="宋体" w:hAnsi="宋体"/>
        <w:b/>
        <w:color w:val="000000" w:themeColor="text1"/>
        <w:sz w:val="20"/>
        <w:szCs w:val="20"/>
        <w:u w:val="none"/>
        <w:lang w:eastAsia="zh-CN"/>
        <w14:textFill>
          <w14:solidFill>
            <w14:schemeClr w14:val="tx1"/>
          </w14:solidFill>
        </w14:textFill>
      </w:rPr>
      <w:t>杭州广厦建筑咨询有限公司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D59C6">
    <w:pPr>
      <w:pStyle w:val="15"/>
      <w:jc w:val="left"/>
    </w:pPr>
    <w:r>
      <w:rPr>
        <w:rFonts w:hint="eastAsia"/>
        <w:lang w:eastAsia="zh-CN"/>
      </w:rPr>
      <w:t>华水水业公司、华水农村供水公司管道应急维修及零星作业已入围班组2025年分片区招标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93C29">
    <w:pPr>
      <w:pStyle w:val="15"/>
      <w:pBdr>
        <w:bottom w:val="none" w:color="auto" w:sz="0" w:space="0"/>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03E25C"/>
    <w:multiLevelType w:val="multilevel"/>
    <w:tmpl w:val="9103E25C"/>
    <w:lvl w:ilvl="0" w:tentative="0">
      <w:start w:val="9"/>
      <w:numFmt w:val="japaneseCounting"/>
      <w:lvlText w:val="%1、"/>
      <w:lvlJc w:val="left"/>
      <w:pPr>
        <w:tabs>
          <w:tab w:val="left" w:pos="1271"/>
        </w:tabs>
        <w:ind w:left="1271" w:hanging="720"/>
      </w:pPr>
    </w:lvl>
    <w:lvl w:ilvl="1" w:tentative="0">
      <w:start w:val="1"/>
      <w:numFmt w:val="lowerLetter"/>
      <w:lvlText w:val="%2)"/>
      <w:lvlJc w:val="left"/>
      <w:pPr>
        <w:tabs>
          <w:tab w:val="left" w:pos="1391"/>
        </w:tabs>
        <w:ind w:left="1391" w:hanging="420"/>
      </w:pPr>
    </w:lvl>
    <w:lvl w:ilvl="2" w:tentative="0">
      <w:start w:val="1"/>
      <w:numFmt w:val="lowerRoman"/>
      <w:lvlText w:val="%3."/>
      <w:lvlJc w:val="right"/>
      <w:pPr>
        <w:tabs>
          <w:tab w:val="left" w:pos="1811"/>
        </w:tabs>
        <w:ind w:left="1811" w:hanging="420"/>
      </w:pPr>
    </w:lvl>
    <w:lvl w:ilvl="3" w:tentative="0">
      <w:start w:val="1"/>
      <w:numFmt w:val="decimal"/>
      <w:lvlText w:val="%4."/>
      <w:lvlJc w:val="left"/>
      <w:pPr>
        <w:tabs>
          <w:tab w:val="left" w:pos="2231"/>
        </w:tabs>
        <w:ind w:left="2231" w:hanging="420"/>
      </w:pPr>
    </w:lvl>
    <w:lvl w:ilvl="4" w:tentative="0">
      <w:start w:val="1"/>
      <w:numFmt w:val="lowerLetter"/>
      <w:lvlText w:val="%5)"/>
      <w:lvlJc w:val="left"/>
      <w:pPr>
        <w:tabs>
          <w:tab w:val="left" w:pos="2651"/>
        </w:tabs>
        <w:ind w:left="2651" w:hanging="420"/>
      </w:pPr>
    </w:lvl>
    <w:lvl w:ilvl="5" w:tentative="0">
      <w:start w:val="1"/>
      <w:numFmt w:val="lowerRoman"/>
      <w:lvlText w:val="%6."/>
      <w:lvlJc w:val="right"/>
      <w:pPr>
        <w:tabs>
          <w:tab w:val="left" w:pos="3071"/>
        </w:tabs>
        <w:ind w:left="3071" w:hanging="420"/>
      </w:pPr>
    </w:lvl>
    <w:lvl w:ilvl="6" w:tentative="0">
      <w:start w:val="1"/>
      <w:numFmt w:val="decimal"/>
      <w:lvlText w:val="%7."/>
      <w:lvlJc w:val="left"/>
      <w:pPr>
        <w:tabs>
          <w:tab w:val="left" w:pos="3491"/>
        </w:tabs>
        <w:ind w:left="3491" w:hanging="420"/>
      </w:pPr>
    </w:lvl>
    <w:lvl w:ilvl="7" w:tentative="0">
      <w:start w:val="1"/>
      <w:numFmt w:val="lowerLetter"/>
      <w:lvlText w:val="%8)"/>
      <w:lvlJc w:val="left"/>
      <w:pPr>
        <w:tabs>
          <w:tab w:val="left" w:pos="3911"/>
        </w:tabs>
        <w:ind w:left="3911" w:hanging="420"/>
      </w:pPr>
    </w:lvl>
    <w:lvl w:ilvl="8" w:tentative="0">
      <w:start w:val="1"/>
      <w:numFmt w:val="lowerRoman"/>
      <w:lvlText w:val="%9."/>
      <w:lvlJc w:val="right"/>
      <w:pPr>
        <w:tabs>
          <w:tab w:val="left" w:pos="4331"/>
        </w:tabs>
        <w:ind w:left="4331" w:hanging="420"/>
      </w:pPr>
    </w:lvl>
  </w:abstractNum>
  <w:abstractNum w:abstractNumId="1">
    <w:nsid w:val="A8C03330"/>
    <w:multiLevelType w:val="singleLevel"/>
    <w:tmpl w:val="A8C03330"/>
    <w:lvl w:ilvl="0" w:tentative="0">
      <w:start w:val="1"/>
      <w:numFmt w:val="decimal"/>
      <w:suff w:val="nothing"/>
      <w:lvlText w:val="（%1）"/>
      <w:lvlJc w:val="left"/>
      <w:pPr>
        <w:ind w:left="-10"/>
      </w:pPr>
    </w:lvl>
  </w:abstractNum>
  <w:abstractNum w:abstractNumId="2">
    <w:nsid w:val="FEB07BD5"/>
    <w:multiLevelType w:val="multilevel"/>
    <w:tmpl w:val="FEB07BD5"/>
    <w:lvl w:ilvl="0" w:tentative="0">
      <w:start w:val="4"/>
      <w:numFmt w:val="japaneseCounting"/>
      <w:lvlText w:val="%1、"/>
      <w:lvlJc w:val="left"/>
      <w:pPr>
        <w:tabs>
          <w:tab w:val="left" w:pos="962"/>
        </w:tabs>
        <w:ind w:left="962" w:hanging="480"/>
      </w:p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3">
    <w:nsid w:val="0003171E"/>
    <w:multiLevelType w:val="multilevel"/>
    <w:tmpl w:val="0003171E"/>
    <w:lvl w:ilvl="0" w:tentative="0">
      <w:start w:val="1"/>
      <w:numFmt w:val="japaneseCounting"/>
      <w:lvlText w:val="%1、"/>
      <w:lvlJc w:val="left"/>
      <w:pPr>
        <w:tabs>
          <w:tab w:val="left" w:pos="962"/>
        </w:tabs>
        <w:ind w:left="962" w:hanging="480"/>
      </w:pPr>
    </w:lvl>
    <w:lvl w:ilvl="1" w:tentative="0">
      <w:start w:val="1"/>
      <w:numFmt w:val="decimal"/>
      <w:lvlText w:val="%2、"/>
      <w:lvlJc w:val="left"/>
      <w:pPr>
        <w:tabs>
          <w:tab w:val="left" w:pos="1262"/>
        </w:tabs>
        <w:ind w:left="1262" w:hanging="36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4">
    <w:nsid w:val="0A0D7613"/>
    <w:multiLevelType w:val="singleLevel"/>
    <w:tmpl w:val="0A0D7613"/>
    <w:lvl w:ilvl="0" w:tentative="0">
      <w:start w:val="1"/>
      <w:numFmt w:val="decimal"/>
      <w:suff w:val="nothing"/>
      <w:lvlText w:val="（%1）"/>
      <w:lvlJc w:val="left"/>
    </w:lvl>
  </w:abstractNum>
  <w:abstractNum w:abstractNumId="5">
    <w:nsid w:val="18384888"/>
    <w:multiLevelType w:val="multilevel"/>
    <w:tmpl w:val="18384888"/>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AC1DA17"/>
    <w:multiLevelType w:val="singleLevel"/>
    <w:tmpl w:val="2AC1DA17"/>
    <w:lvl w:ilvl="0" w:tentative="0">
      <w:start w:val="1"/>
      <w:numFmt w:val="decimal"/>
      <w:suff w:val="nothing"/>
      <w:lvlText w:val="（%1）"/>
      <w:lvlJc w:val="left"/>
    </w:lvl>
  </w:abstractNum>
  <w:abstractNum w:abstractNumId="7">
    <w:nsid w:val="3F165113"/>
    <w:multiLevelType w:val="singleLevel"/>
    <w:tmpl w:val="3F165113"/>
    <w:lvl w:ilvl="0" w:tentative="0">
      <w:start w:val="8"/>
      <w:numFmt w:val="chineseCounting"/>
      <w:suff w:val="nothing"/>
      <w:lvlText w:val="%1、"/>
      <w:lvlJc w:val="left"/>
      <w:pPr>
        <w:ind w:left="-60"/>
      </w:pPr>
      <w:rPr>
        <w:rFonts w:hint="eastAsia"/>
      </w:rPr>
    </w:lvl>
  </w:abstractNum>
  <w:abstractNum w:abstractNumId="8">
    <w:nsid w:val="505F0556"/>
    <w:multiLevelType w:val="multilevel"/>
    <w:tmpl w:val="505F0556"/>
    <w:lvl w:ilvl="0" w:tentative="0">
      <w:start w:val="1"/>
      <w:numFmt w:val="japaneseCounting"/>
      <w:lvlText w:val="第%1章"/>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706E3A5D"/>
    <w:multiLevelType w:val="singleLevel"/>
    <w:tmpl w:val="706E3A5D"/>
    <w:lvl w:ilvl="0" w:tentative="0">
      <w:start w:val="1"/>
      <w:numFmt w:val="decimal"/>
      <w:suff w:val="nothing"/>
      <w:lvlText w:val="%1、"/>
      <w:lvlJc w:val="left"/>
    </w:lvl>
  </w:abstractNum>
  <w:abstractNum w:abstractNumId="10">
    <w:nsid w:val="7D4505EA"/>
    <w:multiLevelType w:val="multilevel"/>
    <w:tmpl w:val="7D4505EA"/>
    <w:lvl w:ilvl="0" w:tentative="0">
      <w:start w:val="1"/>
      <w:numFmt w:val="japaneseCounting"/>
      <w:lvlText w:val="第%1条"/>
      <w:lvlJc w:val="left"/>
      <w:pPr>
        <w:tabs>
          <w:tab w:val="left" w:pos="750"/>
        </w:tabs>
        <w:ind w:left="1176" w:hanging="750"/>
      </w:pPr>
      <w:rPr>
        <w:rFonts w:hint="eastAsia"/>
        <w:highlight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5"/>
  </w:num>
  <w:num w:numId="3">
    <w:abstractNumId w:val="3"/>
  </w:num>
  <w:num w:numId="4">
    <w:abstractNumId w:val="2"/>
  </w:num>
  <w:num w:numId="5">
    <w:abstractNumId w:val="0"/>
  </w:num>
  <w:num w:numId="6">
    <w:abstractNumId w:val="7"/>
  </w:num>
  <w:num w:numId="7">
    <w:abstractNumId w:val="8"/>
  </w:num>
  <w:num w:numId="8">
    <w:abstractNumId w:val="10"/>
  </w:num>
  <w:num w:numId="9">
    <w:abstractNumId w:val="6"/>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1YjdjNTkyYzAyZjVlY2MwMGRlYzUyNTVmOTgzNjEifQ=="/>
  </w:docVars>
  <w:rsids>
    <w:rsidRoot w:val="00377FA6"/>
    <w:rsid w:val="00034F19"/>
    <w:rsid w:val="00037C16"/>
    <w:rsid w:val="00050A8A"/>
    <w:rsid w:val="00050D68"/>
    <w:rsid w:val="0006225C"/>
    <w:rsid w:val="000E6F31"/>
    <w:rsid w:val="001136DD"/>
    <w:rsid w:val="0013153D"/>
    <w:rsid w:val="0018779F"/>
    <w:rsid w:val="00194149"/>
    <w:rsid w:val="001C64BE"/>
    <w:rsid w:val="00210BBC"/>
    <w:rsid w:val="002545F1"/>
    <w:rsid w:val="0025477C"/>
    <w:rsid w:val="00254CE3"/>
    <w:rsid w:val="00275F86"/>
    <w:rsid w:val="00277891"/>
    <w:rsid w:val="002E1225"/>
    <w:rsid w:val="00302AC1"/>
    <w:rsid w:val="00322DF1"/>
    <w:rsid w:val="00336F92"/>
    <w:rsid w:val="00346502"/>
    <w:rsid w:val="00355C4F"/>
    <w:rsid w:val="00377FA6"/>
    <w:rsid w:val="0039557F"/>
    <w:rsid w:val="003C37E4"/>
    <w:rsid w:val="0040002D"/>
    <w:rsid w:val="004036F8"/>
    <w:rsid w:val="00431801"/>
    <w:rsid w:val="00434467"/>
    <w:rsid w:val="00437269"/>
    <w:rsid w:val="004704C1"/>
    <w:rsid w:val="00476DBA"/>
    <w:rsid w:val="004815E9"/>
    <w:rsid w:val="0048237B"/>
    <w:rsid w:val="00492E0B"/>
    <w:rsid w:val="004B4716"/>
    <w:rsid w:val="004B4CB6"/>
    <w:rsid w:val="004E3C09"/>
    <w:rsid w:val="00550565"/>
    <w:rsid w:val="00570378"/>
    <w:rsid w:val="0057077B"/>
    <w:rsid w:val="005C4E9A"/>
    <w:rsid w:val="005F000B"/>
    <w:rsid w:val="00616278"/>
    <w:rsid w:val="006439BD"/>
    <w:rsid w:val="00656E3A"/>
    <w:rsid w:val="006855EC"/>
    <w:rsid w:val="006B39B9"/>
    <w:rsid w:val="006C293B"/>
    <w:rsid w:val="006C6010"/>
    <w:rsid w:val="006E303D"/>
    <w:rsid w:val="006E5ED9"/>
    <w:rsid w:val="006F033F"/>
    <w:rsid w:val="006F1AE1"/>
    <w:rsid w:val="00754E8E"/>
    <w:rsid w:val="00760897"/>
    <w:rsid w:val="007611D0"/>
    <w:rsid w:val="007673B1"/>
    <w:rsid w:val="00795858"/>
    <w:rsid w:val="007A6802"/>
    <w:rsid w:val="007D4D94"/>
    <w:rsid w:val="007F3BEF"/>
    <w:rsid w:val="0081797B"/>
    <w:rsid w:val="008274B3"/>
    <w:rsid w:val="00830176"/>
    <w:rsid w:val="00864BE2"/>
    <w:rsid w:val="00864C13"/>
    <w:rsid w:val="00874290"/>
    <w:rsid w:val="00895783"/>
    <w:rsid w:val="008F66FB"/>
    <w:rsid w:val="00906DB2"/>
    <w:rsid w:val="0093397A"/>
    <w:rsid w:val="009536AC"/>
    <w:rsid w:val="00996B91"/>
    <w:rsid w:val="009B1AB7"/>
    <w:rsid w:val="009E1DAE"/>
    <w:rsid w:val="009F5838"/>
    <w:rsid w:val="00A21754"/>
    <w:rsid w:val="00A31EFA"/>
    <w:rsid w:val="00A353FB"/>
    <w:rsid w:val="00A45677"/>
    <w:rsid w:val="00A46261"/>
    <w:rsid w:val="00A50B8E"/>
    <w:rsid w:val="00A67DE5"/>
    <w:rsid w:val="00A77ACC"/>
    <w:rsid w:val="00A93368"/>
    <w:rsid w:val="00AA4D35"/>
    <w:rsid w:val="00AB5928"/>
    <w:rsid w:val="00AC72CF"/>
    <w:rsid w:val="00AE4A91"/>
    <w:rsid w:val="00B82263"/>
    <w:rsid w:val="00B92639"/>
    <w:rsid w:val="00BA3FCC"/>
    <w:rsid w:val="00BB656C"/>
    <w:rsid w:val="00C27192"/>
    <w:rsid w:val="00D17E6F"/>
    <w:rsid w:val="00D65A19"/>
    <w:rsid w:val="00D82BBB"/>
    <w:rsid w:val="00DA3AB0"/>
    <w:rsid w:val="00DA720B"/>
    <w:rsid w:val="00DE49E6"/>
    <w:rsid w:val="00DF0B84"/>
    <w:rsid w:val="00E025DB"/>
    <w:rsid w:val="00E1419C"/>
    <w:rsid w:val="00E27C87"/>
    <w:rsid w:val="00E4777A"/>
    <w:rsid w:val="00E7600C"/>
    <w:rsid w:val="00E81D0F"/>
    <w:rsid w:val="00E90422"/>
    <w:rsid w:val="00EA2E54"/>
    <w:rsid w:val="00EC3321"/>
    <w:rsid w:val="00EE4B66"/>
    <w:rsid w:val="00EE7BEB"/>
    <w:rsid w:val="00EF6B50"/>
    <w:rsid w:val="00F16464"/>
    <w:rsid w:val="00F23629"/>
    <w:rsid w:val="00F477DF"/>
    <w:rsid w:val="00F672BF"/>
    <w:rsid w:val="00FA28E9"/>
    <w:rsid w:val="00FB5A34"/>
    <w:rsid w:val="00FF49FC"/>
    <w:rsid w:val="011B6D93"/>
    <w:rsid w:val="016320EC"/>
    <w:rsid w:val="01BB5A85"/>
    <w:rsid w:val="024C2494"/>
    <w:rsid w:val="02C6624C"/>
    <w:rsid w:val="051A51B8"/>
    <w:rsid w:val="056D6675"/>
    <w:rsid w:val="067D69C9"/>
    <w:rsid w:val="07660D9E"/>
    <w:rsid w:val="08532822"/>
    <w:rsid w:val="088A479B"/>
    <w:rsid w:val="08AC45C1"/>
    <w:rsid w:val="09111494"/>
    <w:rsid w:val="09E15C4C"/>
    <w:rsid w:val="09EA5159"/>
    <w:rsid w:val="0B895407"/>
    <w:rsid w:val="0F782921"/>
    <w:rsid w:val="0F8D24F8"/>
    <w:rsid w:val="0FBD4E85"/>
    <w:rsid w:val="10F92125"/>
    <w:rsid w:val="11BF414E"/>
    <w:rsid w:val="12F55A12"/>
    <w:rsid w:val="132440AC"/>
    <w:rsid w:val="133833D9"/>
    <w:rsid w:val="136F1052"/>
    <w:rsid w:val="141250C3"/>
    <w:rsid w:val="14213E6D"/>
    <w:rsid w:val="142D2812"/>
    <w:rsid w:val="14D03DC1"/>
    <w:rsid w:val="157C6C72"/>
    <w:rsid w:val="169A7F07"/>
    <w:rsid w:val="16A26E14"/>
    <w:rsid w:val="19DA5E1D"/>
    <w:rsid w:val="19ED5DA7"/>
    <w:rsid w:val="19FE6CEA"/>
    <w:rsid w:val="1B2F05B5"/>
    <w:rsid w:val="1BFC1673"/>
    <w:rsid w:val="1C6F7057"/>
    <w:rsid w:val="1C7D70EF"/>
    <w:rsid w:val="1DFB6145"/>
    <w:rsid w:val="2001676D"/>
    <w:rsid w:val="204C04C4"/>
    <w:rsid w:val="214A75E0"/>
    <w:rsid w:val="2163106E"/>
    <w:rsid w:val="21703D3E"/>
    <w:rsid w:val="225024B0"/>
    <w:rsid w:val="25B04BE7"/>
    <w:rsid w:val="26214382"/>
    <w:rsid w:val="26393E5B"/>
    <w:rsid w:val="270D6881"/>
    <w:rsid w:val="2719622F"/>
    <w:rsid w:val="27494E8B"/>
    <w:rsid w:val="279D22F0"/>
    <w:rsid w:val="27D05EF1"/>
    <w:rsid w:val="281178FD"/>
    <w:rsid w:val="28CD5F1A"/>
    <w:rsid w:val="2AEC3148"/>
    <w:rsid w:val="2B0C143F"/>
    <w:rsid w:val="2B146082"/>
    <w:rsid w:val="2C934DAC"/>
    <w:rsid w:val="2D5C7509"/>
    <w:rsid w:val="2DC518FD"/>
    <w:rsid w:val="2DDB09CC"/>
    <w:rsid w:val="2E2B6D55"/>
    <w:rsid w:val="2F2D7A14"/>
    <w:rsid w:val="2F4A02C4"/>
    <w:rsid w:val="307609F6"/>
    <w:rsid w:val="31621E93"/>
    <w:rsid w:val="330279F7"/>
    <w:rsid w:val="332106E5"/>
    <w:rsid w:val="33CA11F9"/>
    <w:rsid w:val="33D10928"/>
    <w:rsid w:val="350F6EA4"/>
    <w:rsid w:val="361909F0"/>
    <w:rsid w:val="37B22EAA"/>
    <w:rsid w:val="38E735F9"/>
    <w:rsid w:val="3943031D"/>
    <w:rsid w:val="3AE60069"/>
    <w:rsid w:val="3C841C14"/>
    <w:rsid w:val="3CAF6754"/>
    <w:rsid w:val="3D391359"/>
    <w:rsid w:val="3D3B5038"/>
    <w:rsid w:val="3D404AB5"/>
    <w:rsid w:val="3D534FD1"/>
    <w:rsid w:val="3D95059E"/>
    <w:rsid w:val="3DA750CA"/>
    <w:rsid w:val="3E265A58"/>
    <w:rsid w:val="3ED454B4"/>
    <w:rsid w:val="407F21D6"/>
    <w:rsid w:val="414E2CD9"/>
    <w:rsid w:val="4172626E"/>
    <w:rsid w:val="422E5823"/>
    <w:rsid w:val="42A420FC"/>
    <w:rsid w:val="42E42E04"/>
    <w:rsid w:val="439663E9"/>
    <w:rsid w:val="44476C1C"/>
    <w:rsid w:val="44A563FB"/>
    <w:rsid w:val="461850CE"/>
    <w:rsid w:val="465E2657"/>
    <w:rsid w:val="47244B40"/>
    <w:rsid w:val="473016F6"/>
    <w:rsid w:val="47C679FB"/>
    <w:rsid w:val="47E719A8"/>
    <w:rsid w:val="487E42B8"/>
    <w:rsid w:val="48CE50D2"/>
    <w:rsid w:val="49432C92"/>
    <w:rsid w:val="49545147"/>
    <w:rsid w:val="4A5D4EF8"/>
    <w:rsid w:val="4AB44509"/>
    <w:rsid w:val="4AC07EDD"/>
    <w:rsid w:val="4B351654"/>
    <w:rsid w:val="4B7C14BF"/>
    <w:rsid w:val="4CAA1B9F"/>
    <w:rsid w:val="4DAB3C06"/>
    <w:rsid w:val="4E2F6BAB"/>
    <w:rsid w:val="500E3561"/>
    <w:rsid w:val="52853D18"/>
    <w:rsid w:val="5564060D"/>
    <w:rsid w:val="55785FCD"/>
    <w:rsid w:val="569A6B8C"/>
    <w:rsid w:val="56EC1BB4"/>
    <w:rsid w:val="5712706A"/>
    <w:rsid w:val="5824321E"/>
    <w:rsid w:val="58731043"/>
    <w:rsid w:val="58AC1AD4"/>
    <w:rsid w:val="58D4004A"/>
    <w:rsid w:val="5B013710"/>
    <w:rsid w:val="5BA029E6"/>
    <w:rsid w:val="5BC76675"/>
    <w:rsid w:val="5CD234AD"/>
    <w:rsid w:val="5D2B6790"/>
    <w:rsid w:val="5E5D4D88"/>
    <w:rsid w:val="5EB34C8F"/>
    <w:rsid w:val="5EB427B5"/>
    <w:rsid w:val="5EB86749"/>
    <w:rsid w:val="5EF67CB2"/>
    <w:rsid w:val="5F990328"/>
    <w:rsid w:val="607C7302"/>
    <w:rsid w:val="62B57962"/>
    <w:rsid w:val="62F67840"/>
    <w:rsid w:val="64573B7D"/>
    <w:rsid w:val="650D7FA0"/>
    <w:rsid w:val="660F04F2"/>
    <w:rsid w:val="661972CD"/>
    <w:rsid w:val="66C003B4"/>
    <w:rsid w:val="675B4115"/>
    <w:rsid w:val="68155736"/>
    <w:rsid w:val="683325DF"/>
    <w:rsid w:val="68434511"/>
    <w:rsid w:val="68694610"/>
    <w:rsid w:val="68CB020A"/>
    <w:rsid w:val="693144D5"/>
    <w:rsid w:val="6AA67D9D"/>
    <w:rsid w:val="6AEC5F4D"/>
    <w:rsid w:val="6B071683"/>
    <w:rsid w:val="6D5C30D2"/>
    <w:rsid w:val="6D7C2258"/>
    <w:rsid w:val="6DBB2D2D"/>
    <w:rsid w:val="6E605D60"/>
    <w:rsid w:val="6E9D5201"/>
    <w:rsid w:val="702A4B0A"/>
    <w:rsid w:val="705700BB"/>
    <w:rsid w:val="707117F2"/>
    <w:rsid w:val="712E4102"/>
    <w:rsid w:val="71CF60E2"/>
    <w:rsid w:val="72823BFC"/>
    <w:rsid w:val="729C3F60"/>
    <w:rsid w:val="72C7602F"/>
    <w:rsid w:val="74DE592A"/>
    <w:rsid w:val="75DF2670"/>
    <w:rsid w:val="764836A9"/>
    <w:rsid w:val="771B4817"/>
    <w:rsid w:val="778C351F"/>
    <w:rsid w:val="793547C6"/>
    <w:rsid w:val="79A13C0A"/>
    <w:rsid w:val="7B92688C"/>
    <w:rsid w:val="7BC5151D"/>
    <w:rsid w:val="7D0F3BD2"/>
    <w:rsid w:val="7DEF7B30"/>
    <w:rsid w:val="7DF710F3"/>
    <w:rsid w:val="7E262FDC"/>
    <w:rsid w:val="7EB41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4"/>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46"/>
    <w:qFormat/>
    <w:uiPriority w:val="0"/>
    <w:pPr>
      <w:keepNext/>
      <w:keepLines/>
      <w:spacing w:before="260" w:after="260" w:line="416" w:lineRule="auto"/>
      <w:outlineLvl w:val="2"/>
    </w:pPr>
    <w:rPr>
      <w:b/>
      <w:bCs/>
      <w:sz w:val="32"/>
      <w:szCs w:val="32"/>
    </w:rPr>
  </w:style>
  <w:style w:type="paragraph" w:styleId="5">
    <w:name w:val="heading 4"/>
    <w:basedOn w:val="1"/>
    <w:next w:val="1"/>
    <w:link w:val="47"/>
    <w:qFormat/>
    <w:uiPriority w:val="0"/>
    <w:pPr>
      <w:keepNext/>
      <w:keepLines/>
      <w:spacing w:before="280" w:after="290" w:line="376" w:lineRule="auto"/>
      <w:outlineLvl w:val="3"/>
    </w:pPr>
    <w:rPr>
      <w:rFonts w:ascii="Arial" w:hAnsi="Arial" w:eastAsia="黑体"/>
      <w:b/>
      <w:bCs/>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annotation text"/>
    <w:basedOn w:val="1"/>
    <w:link w:val="57"/>
    <w:semiHidden/>
    <w:unhideWhenUsed/>
    <w:qFormat/>
    <w:uiPriority w:val="99"/>
    <w:pPr>
      <w:jc w:val="left"/>
    </w:pPr>
  </w:style>
  <w:style w:type="paragraph" w:styleId="8">
    <w:name w:val="Body Text 3"/>
    <w:basedOn w:val="1"/>
    <w:link w:val="37"/>
    <w:qFormat/>
    <w:uiPriority w:val="0"/>
    <w:pPr>
      <w:widowControl/>
      <w:tabs>
        <w:tab w:val="left" w:pos="0"/>
        <w:tab w:val="left" w:pos="993"/>
        <w:tab w:val="left" w:pos="1134"/>
      </w:tabs>
      <w:adjustRightInd w:val="0"/>
      <w:snapToGrid w:val="0"/>
      <w:spacing w:line="300" w:lineRule="auto"/>
    </w:pPr>
    <w:rPr>
      <w:rFonts w:eastAsia="仿宋_GB2312"/>
      <w:snapToGrid w:val="0"/>
      <w:kern w:val="0"/>
      <w:sz w:val="24"/>
      <w:szCs w:val="20"/>
    </w:rPr>
  </w:style>
  <w:style w:type="paragraph" w:styleId="9">
    <w:name w:val="Body Text"/>
    <w:basedOn w:val="1"/>
    <w:next w:val="1"/>
    <w:link w:val="41"/>
    <w:semiHidden/>
    <w:unhideWhenUsed/>
    <w:qFormat/>
    <w:uiPriority w:val="99"/>
    <w:pPr>
      <w:spacing w:after="120"/>
    </w:pPr>
  </w:style>
  <w:style w:type="paragraph" w:styleId="10">
    <w:name w:val="Body Text Indent"/>
    <w:basedOn w:val="1"/>
    <w:next w:val="1"/>
    <w:link w:val="50"/>
    <w:qFormat/>
    <w:uiPriority w:val="0"/>
    <w:pPr>
      <w:spacing w:after="120"/>
      <w:ind w:left="420" w:leftChars="200"/>
    </w:pPr>
  </w:style>
  <w:style w:type="paragraph" w:styleId="11">
    <w:name w:val="toc 3"/>
    <w:basedOn w:val="1"/>
    <w:next w:val="1"/>
    <w:qFormat/>
    <w:uiPriority w:val="39"/>
    <w:pPr>
      <w:spacing w:line="360" w:lineRule="auto"/>
    </w:pPr>
  </w:style>
  <w:style w:type="paragraph" w:styleId="12">
    <w:name w:val="Plain Text"/>
    <w:basedOn w:val="1"/>
    <w:link w:val="48"/>
    <w:qFormat/>
    <w:uiPriority w:val="0"/>
    <w:rPr>
      <w:rFonts w:ascii="宋体" w:hAnsi="Courier New" w:cs="Courier New" w:eastAsiaTheme="minorEastAsia"/>
      <w:szCs w:val="21"/>
    </w:rPr>
  </w:style>
  <w:style w:type="paragraph" w:styleId="13">
    <w:name w:val="Balloon Text"/>
    <w:basedOn w:val="1"/>
    <w:link w:val="59"/>
    <w:semiHidden/>
    <w:unhideWhenUsed/>
    <w:qFormat/>
    <w:uiPriority w:val="99"/>
    <w:rPr>
      <w:sz w:val="18"/>
      <w:szCs w:val="18"/>
    </w:rPr>
  </w:style>
  <w:style w:type="paragraph" w:styleId="14">
    <w:name w:val="footer"/>
    <w:basedOn w:val="1"/>
    <w:link w:val="54"/>
    <w:unhideWhenUsed/>
    <w:qFormat/>
    <w:uiPriority w:val="99"/>
    <w:pPr>
      <w:tabs>
        <w:tab w:val="center" w:pos="4153"/>
        <w:tab w:val="right" w:pos="8306"/>
      </w:tabs>
      <w:snapToGrid w:val="0"/>
      <w:jc w:val="left"/>
    </w:pPr>
    <w:rPr>
      <w:sz w:val="18"/>
      <w:szCs w:val="18"/>
    </w:rPr>
  </w:style>
  <w:style w:type="paragraph" w:styleId="15">
    <w:name w:val="header"/>
    <w:basedOn w:val="1"/>
    <w:link w:val="53"/>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spacing w:line="360" w:lineRule="auto"/>
    </w:pPr>
  </w:style>
  <w:style w:type="paragraph" w:styleId="17">
    <w:name w:val="toc 4"/>
    <w:basedOn w:val="1"/>
    <w:next w:val="1"/>
    <w:qFormat/>
    <w:uiPriority w:val="39"/>
    <w:pPr>
      <w:ind w:left="1260" w:leftChars="600"/>
    </w:pPr>
  </w:style>
  <w:style w:type="paragraph" w:styleId="18">
    <w:name w:val="Body Text Indent 3"/>
    <w:basedOn w:val="1"/>
    <w:link w:val="51"/>
    <w:qFormat/>
    <w:uiPriority w:val="0"/>
    <w:pPr>
      <w:spacing w:after="120"/>
      <w:ind w:left="420" w:leftChars="200"/>
    </w:pPr>
    <w:rPr>
      <w:sz w:val="16"/>
      <w:szCs w:val="16"/>
    </w:rPr>
  </w:style>
  <w:style w:type="paragraph" w:styleId="19">
    <w:name w:val="toc 2"/>
    <w:basedOn w:val="1"/>
    <w:next w:val="1"/>
    <w:qFormat/>
    <w:uiPriority w:val="39"/>
    <w:pPr>
      <w:spacing w:line="360" w:lineRule="auto"/>
    </w:pPr>
  </w:style>
  <w:style w:type="paragraph" w:styleId="20">
    <w:name w:val="Body Text 2"/>
    <w:basedOn w:val="1"/>
    <w:link w:val="38"/>
    <w:qFormat/>
    <w:uiPriority w:val="0"/>
    <w:pPr>
      <w:widowControl/>
      <w:tabs>
        <w:tab w:val="left" w:pos="0"/>
        <w:tab w:val="left" w:pos="993"/>
        <w:tab w:val="left" w:pos="1134"/>
      </w:tabs>
      <w:spacing w:line="240" w:lineRule="exact"/>
    </w:pPr>
    <w:rPr>
      <w:rFonts w:ascii="楷体_GB2312" w:eastAsia="楷体_GB2312"/>
      <w:kern w:val="0"/>
      <w:sz w:val="18"/>
      <w:szCs w:val="20"/>
    </w:rPr>
  </w:style>
  <w:style w:type="paragraph" w:styleId="21">
    <w:name w:val="Normal (Web)"/>
    <w:basedOn w:val="1"/>
    <w:qFormat/>
    <w:uiPriority w:val="0"/>
    <w:pPr>
      <w:widowControl/>
      <w:spacing w:before="100" w:beforeAutospacing="1" w:after="100" w:afterAutospacing="1"/>
      <w:jc w:val="left"/>
    </w:pPr>
    <w:rPr>
      <w:kern w:val="0"/>
      <w:sz w:val="24"/>
    </w:rPr>
  </w:style>
  <w:style w:type="paragraph" w:styleId="22">
    <w:name w:val="Title"/>
    <w:basedOn w:val="1"/>
    <w:next w:val="1"/>
    <w:link w:val="55"/>
    <w:qFormat/>
    <w:uiPriority w:val="0"/>
    <w:pPr>
      <w:spacing w:before="240" w:after="60"/>
      <w:jc w:val="center"/>
      <w:outlineLvl w:val="0"/>
    </w:pPr>
    <w:rPr>
      <w:rFonts w:asciiTheme="majorHAnsi" w:hAnsiTheme="majorHAnsi" w:eastAsiaTheme="majorEastAsia" w:cstheme="majorBidi"/>
      <w:b/>
      <w:bCs/>
      <w:sz w:val="32"/>
      <w:szCs w:val="32"/>
    </w:rPr>
  </w:style>
  <w:style w:type="paragraph" w:styleId="23">
    <w:name w:val="annotation subject"/>
    <w:basedOn w:val="7"/>
    <w:next w:val="7"/>
    <w:link w:val="58"/>
    <w:semiHidden/>
    <w:unhideWhenUsed/>
    <w:qFormat/>
    <w:uiPriority w:val="99"/>
    <w:rPr>
      <w:b/>
      <w:bCs/>
    </w:rPr>
  </w:style>
  <w:style w:type="paragraph" w:styleId="24">
    <w:name w:val="Body Text First Indent"/>
    <w:basedOn w:val="9"/>
    <w:next w:val="13"/>
    <w:qFormat/>
    <w:uiPriority w:val="0"/>
    <w:pPr>
      <w:ind w:firstLine="420" w:firstLineChars="100"/>
    </w:pPr>
  </w:style>
  <w:style w:type="paragraph" w:styleId="25">
    <w:name w:val="Body Text First Indent 2"/>
    <w:basedOn w:val="10"/>
    <w:next w:val="26"/>
    <w:qFormat/>
    <w:uiPriority w:val="0"/>
    <w:pPr>
      <w:spacing w:after="120" w:line="240" w:lineRule="auto"/>
      <w:ind w:left="420" w:leftChars="200" w:firstLine="420"/>
    </w:pPr>
    <w:rPr>
      <w:rFonts w:cs="宋体"/>
      <w:sz w:val="21"/>
      <w:szCs w:val="21"/>
    </w:rPr>
  </w:style>
  <w:style w:type="paragraph" w:customStyle="1" w:styleId="26">
    <w:name w:val="xl53"/>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color w:val="000000"/>
      <w:kern w:val="0"/>
      <w:sz w:val="20"/>
      <w:szCs w:val="20"/>
      <w:lang w:eastAsia="en-US" w:bidi="en-US"/>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unhideWhenUsed/>
    <w:qFormat/>
    <w:uiPriority w:val="99"/>
    <w:rPr>
      <w:color w:val="0563C1" w:themeColor="hyperlink"/>
      <w:u w:val="single"/>
      <w14:textFill>
        <w14:solidFill>
          <w14:schemeClr w14:val="hlink"/>
        </w14:solidFill>
      </w14:textFill>
    </w:rPr>
  </w:style>
  <w:style w:type="character" w:styleId="31">
    <w:name w:val="annotation reference"/>
    <w:basedOn w:val="29"/>
    <w:semiHidden/>
    <w:unhideWhenUsed/>
    <w:qFormat/>
    <w:uiPriority w:val="99"/>
    <w:rPr>
      <w:sz w:val="21"/>
      <w:szCs w:val="21"/>
    </w:rPr>
  </w:style>
  <w:style w:type="paragraph" w:customStyle="1" w:styleId="32">
    <w:name w:val="样式 表格正文 + 两端对齐"/>
    <w:basedOn w:val="1"/>
    <w:next w:val="33"/>
    <w:qFormat/>
    <w:uiPriority w:val="99"/>
    <w:pPr>
      <w:spacing w:line="300" w:lineRule="auto"/>
    </w:pPr>
    <w:rPr>
      <w:sz w:val="24"/>
    </w:rPr>
  </w:style>
  <w:style w:type="paragraph" w:customStyle="1" w:styleId="33">
    <w:name w:val="正文1"/>
    <w:basedOn w:val="11"/>
    <w:next w:val="34"/>
    <w:qFormat/>
    <w:uiPriority w:val="0"/>
    <w:pPr>
      <w:jc w:val="both"/>
    </w:pPr>
    <w:rPr>
      <w:rFonts w:ascii="Times New Roman" w:hAnsi="Times New Roman" w:eastAsia="宋体" w:cs="Times New Roman"/>
      <w:kern w:val="2"/>
      <w:sz w:val="21"/>
      <w:szCs w:val="21"/>
      <w:lang w:val="en-US" w:eastAsia="zh-CN" w:bidi="ar-SA"/>
    </w:rPr>
  </w:style>
  <w:style w:type="paragraph" w:customStyle="1" w:styleId="34">
    <w:name w:val="自动更正"/>
    <w:next w:val="35"/>
    <w:qFormat/>
    <w:uiPriority w:val="99"/>
    <w:pPr>
      <w:widowControl w:val="0"/>
      <w:jc w:val="both"/>
    </w:pPr>
    <w:rPr>
      <w:rFonts w:ascii="Times New Roman" w:hAnsi="Times New Roman" w:eastAsia="等线" w:cs="Times New Roman"/>
      <w:kern w:val="2"/>
      <w:sz w:val="21"/>
      <w:szCs w:val="24"/>
      <w:lang w:val="en-US" w:eastAsia="zh-CN" w:bidi="ar-SA"/>
    </w:rPr>
  </w:style>
  <w:style w:type="paragraph" w:customStyle="1" w:styleId="35">
    <w:name w:val="xl39"/>
    <w:basedOn w:val="1"/>
    <w:next w:val="36"/>
    <w:qFormat/>
    <w:uiPriority w:val="99"/>
    <w:pPr>
      <w:widowControl/>
      <w:pBdr>
        <w:left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36">
    <w:name w:val="分手多日，近况如何？"/>
    <w:next w:val="1"/>
    <w:qFormat/>
    <w:uiPriority w:val="99"/>
    <w:pPr>
      <w:widowControl w:val="0"/>
      <w:jc w:val="both"/>
    </w:pPr>
    <w:rPr>
      <w:rFonts w:ascii="Times New Roman" w:hAnsi="Times New Roman" w:eastAsia="等线" w:cs="Times New Roman"/>
      <w:sz w:val="21"/>
      <w:lang w:val="en-US" w:eastAsia="zh-CN" w:bidi="ar-SA"/>
    </w:rPr>
  </w:style>
  <w:style w:type="character" w:customStyle="1" w:styleId="37">
    <w:name w:val="正文文本 3 字符"/>
    <w:basedOn w:val="29"/>
    <w:link w:val="8"/>
    <w:qFormat/>
    <w:uiPriority w:val="0"/>
    <w:rPr>
      <w:rFonts w:ascii="Calibri" w:hAnsi="Calibri" w:eastAsia="仿宋_GB2312" w:cs="Times New Roman"/>
      <w:snapToGrid w:val="0"/>
      <w:kern w:val="0"/>
      <w:sz w:val="24"/>
      <w:szCs w:val="20"/>
    </w:rPr>
  </w:style>
  <w:style w:type="character" w:customStyle="1" w:styleId="38">
    <w:name w:val="正文文本 2 字符"/>
    <w:basedOn w:val="29"/>
    <w:link w:val="20"/>
    <w:qFormat/>
    <w:uiPriority w:val="0"/>
    <w:rPr>
      <w:rFonts w:ascii="楷体_GB2312" w:hAnsi="Calibri" w:eastAsia="楷体_GB2312" w:cs="Times New Roman"/>
      <w:kern w:val="0"/>
      <w:sz w:val="18"/>
      <w:szCs w:val="20"/>
    </w:rPr>
  </w:style>
  <w:style w:type="character" w:customStyle="1" w:styleId="39">
    <w:name w:val="标题 1 字符"/>
    <w:basedOn w:val="29"/>
    <w:link w:val="2"/>
    <w:qFormat/>
    <w:uiPriority w:val="0"/>
    <w:rPr>
      <w:rFonts w:ascii="Calibri" w:hAnsi="Calibri" w:eastAsia="宋体" w:cs="Times New Roman"/>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41">
    <w:name w:val="正文文本 字符"/>
    <w:basedOn w:val="29"/>
    <w:link w:val="9"/>
    <w:semiHidden/>
    <w:qFormat/>
    <w:uiPriority w:val="99"/>
    <w:rPr>
      <w:rFonts w:ascii="Calibri" w:hAnsi="Calibri" w:eastAsia="宋体" w:cs="Times New Roman"/>
      <w:szCs w:val="24"/>
    </w:rPr>
  </w:style>
  <w:style w:type="paragraph" w:customStyle="1" w:styleId="42">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43">
    <w:name w:val="0"/>
    <w:basedOn w:val="1"/>
    <w:qFormat/>
    <w:uiPriority w:val="0"/>
    <w:pPr>
      <w:widowControl/>
      <w:snapToGrid w:val="0"/>
    </w:pPr>
    <w:rPr>
      <w:kern w:val="0"/>
      <w:szCs w:val="20"/>
    </w:rPr>
  </w:style>
  <w:style w:type="character" w:customStyle="1" w:styleId="44">
    <w:name w:val="标题 2 字符"/>
    <w:basedOn w:val="29"/>
    <w:link w:val="3"/>
    <w:qFormat/>
    <w:uiPriority w:val="0"/>
    <w:rPr>
      <w:rFonts w:ascii="Calibri Light" w:hAnsi="Calibri Light" w:eastAsia="宋体" w:cs="Times New Roman"/>
      <w:b/>
      <w:bCs/>
      <w:sz w:val="32"/>
      <w:szCs w:val="32"/>
    </w:rPr>
  </w:style>
  <w:style w:type="paragraph" w:customStyle="1" w:styleId="45">
    <w:name w:val="内文正文"/>
    <w:qFormat/>
    <w:uiPriority w:val="0"/>
    <w:pPr>
      <w:autoSpaceDE w:val="0"/>
      <w:autoSpaceDN w:val="0"/>
      <w:spacing w:line="400" w:lineRule="exact"/>
      <w:ind w:firstLine="200" w:firstLineChars="200"/>
      <w:jc w:val="both"/>
      <w:textAlignment w:val="bottom"/>
    </w:pPr>
    <w:rPr>
      <w:rFonts w:ascii="宋体" w:hAnsi="???|CS?o｡ﾀ?" w:eastAsia="宋体" w:cs="Times New Roman"/>
      <w:sz w:val="21"/>
      <w:szCs w:val="28"/>
      <w:lang w:val="en-US" w:eastAsia="zh-CN" w:bidi="ar-SA"/>
    </w:rPr>
  </w:style>
  <w:style w:type="character" w:customStyle="1" w:styleId="46">
    <w:name w:val="标题 3 字符"/>
    <w:basedOn w:val="29"/>
    <w:link w:val="4"/>
    <w:qFormat/>
    <w:uiPriority w:val="0"/>
    <w:rPr>
      <w:rFonts w:ascii="Calibri" w:hAnsi="Calibri" w:eastAsia="宋体" w:cs="Times New Roman"/>
      <w:b/>
      <w:bCs/>
      <w:sz w:val="32"/>
      <w:szCs w:val="32"/>
    </w:rPr>
  </w:style>
  <w:style w:type="character" w:customStyle="1" w:styleId="47">
    <w:name w:val="标题 4 字符"/>
    <w:basedOn w:val="29"/>
    <w:link w:val="5"/>
    <w:qFormat/>
    <w:uiPriority w:val="0"/>
    <w:rPr>
      <w:rFonts w:ascii="Arial" w:hAnsi="Arial" w:eastAsia="黑体" w:cs="Times New Roman"/>
      <w:b/>
      <w:bCs/>
      <w:sz w:val="28"/>
      <w:szCs w:val="28"/>
    </w:rPr>
  </w:style>
  <w:style w:type="character" w:customStyle="1" w:styleId="48">
    <w:name w:val="纯文本 字符"/>
    <w:link w:val="12"/>
    <w:qFormat/>
    <w:locked/>
    <w:uiPriority w:val="0"/>
    <w:rPr>
      <w:rFonts w:ascii="宋体" w:hAnsi="Courier New" w:cs="Courier New"/>
      <w:szCs w:val="21"/>
    </w:rPr>
  </w:style>
  <w:style w:type="character" w:customStyle="1" w:styleId="49">
    <w:name w:val="纯文本 字符1"/>
    <w:basedOn w:val="29"/>
    <w:semiHidden/>
    <w:qFormat/>
    <w:uiPriority w:val="99"/>
    <w:rPr>
      <w:rFonts w:hAnsi="Courier New" w:cs="Courier New" w:asciiTheme="minorEastAsia"/>
      <w:szCs w:val="24"/>
    </w:rPr>
  </w:style>
  <w:style w:type="character" w:customStyle="1" w:styleId="50">
    <w:name w:val="正文文本缩进 字符"/>
    <w:basedOn w:val="29"/>
    <w:link w:val="10"/>
    <w:qFormat/>
    <w:uiPriority w:val="0"/>
    <w:rPr>
      <w:rFonts w:ascii="Calibri" w:hAnsi="Calibri" w:eastAsia="宋体" w:cs="Times New Roman"/>
      <w:szCs w:val="24"/>
    </w:rPr>
  </w:style>
  <w:style w:type="character" w:customStyle="1" w:styleId="51">
    <w:name w:val="正文文本缩进 3 字符"/>
    <w:basedOn w:val="29"/>
    <w:link w:val="18"/>
    <w:qFormat/>
    <w:uiPriority w:val="0"/>
    <w:rPr>
      <w:rFonts w:ascii="Calibri" w:hAnsi="Calibri" w:eastAsia="宋体" w:cs="Times New Roman"/>
      <w:sz w:val="16"/>
      <w:szCs w:val="16"/>
    </w:rPr>
  </w:style>
  <w:style w:type="character" w:customStyle="1" w:styleId="52">
    <w:name w:val="apple-converted-space"/>
    <w:qFormat/>
    <w:uiPriority w:val="0"/>
  </w:style>
  <w:style w:type="character" w:customStyle="1" w:styleId="53">
    <w:name w:val="页眉 字符"/>
    <w:basedOn w:val="29"/>
    <w:link w:val="15"/>
    <w:qFormat/>
    <w:uiPriority w:val="99"/>
    <w:rPr>
      <w:rFonts w:ascii="Calibri" w:hAnsi="Calibri" w:eastAsia="宋体" w:cs="Times New Roman"/>
      <w:sz w:val="18"/>
      <w:szCs w:val="18"/>
    </w:rPr>
  </w:style>
  <w:style w:type="character" w:customStyle="1" w:styleId="54">
    <w:name w:val="页脚 字符"/>
    <w:basedOn w:val="29"/>
    <w:link w:val="14"/>
    <w:qFormat/>
    <w:uiPriority w:val="99"/>
    <w:rPr>
      <w:rFonts w:ascii="Calibri" w:hAnsi="Calibri" w:eastAsia="宋体" w:cs="Times New Roman"/>
      <w:sz w:val="18"/>
      <w:szCs w:val="18"/>
    </w:rPr>
  </w:style>
  <w:style w:type="character" w:customStyle="1" w:styleId="55">
    <w:name w:val="标题 字符"/>
    <w:basedOn w:val="29"/>
    <w:link w:val="22"/>
    <w:qFormat/>
    <w:uiPriority w:val="0"/>
    <w:rPr>
      <w:rFonts w:asciiTheme="majorHAnsi" w:hAnsiTheme="majorHAnsi" w:eastAsiaTheme="majorEastAsia" w:cstheme="majorBidi"/>
      <w:b/>
      <w:bCs/>
      <w:sz w:val="32"/>
      <w:szCs w:val="32"/>
    </w:rPr>
  </w:style>
  <w:style w:type="paragraph" w:customStyle="1" w:styleId="56">
    <w:name w:val="Table Paragraph"/>
    <w:basedOn w:val="1"/>
    <w:qFormat/>
    <w:uiPriority w:val="1"/>
    <w:rPr>
      <w:rFonts w:ascii="宋体" w:hAnsi="宋体" w:cs="宋体"/>
      <w:lang w:val="zh-CN" w:bidi="zh-CN"/>
    </w:rPr>
  </w:style>
  <w:style w:type="character" w:customStyle="1" w:styleId="57">
    <w:name w:val="批注文字 字符"/>
    <w:basedOn w:val="29"/>
    <w:link w:val="7"/>
    <w:semiHidden/>
    <w:qFormat/>
    <w:uiPriority w:val="99"/>
    <w:rPr>
      <w:kern w:val="2"/>
      <w:sz w:val="21"/>
      <w:szCs w:val="24"/>
    </w:rPr>
  </w:style>
  <w:style w:type="character" w:customStyle="1" w:styleId="58">
    <w:name w:val="批注主题 字符"/>
    <w:basedOn w:val="57"/>
    <w:link w:val="23"/>
    <w:semiHidden/>
    <w:qFormat/>
    <w:uiPriority w:val="99"/>
    <w:rPr>
      <w:b/>
      <w:bCs/>
      <w:kern w:val="2"/>
      <w:sz w:val="21"/>
      <w:szCs w:val="24"/>
    </w:rPr>
  </w:style>
  <w:style w:type="character" w:customStyle="1" w:styleId="59">
    <w:name w:val="批注框文本 字符"/>
    <w:basedOn w:val="29"/>
    <w:link w:val="13"/>
    <w:semiHidden/>
    <w:qFormat/>
    <w:uiPriority w:val="99"/>
    <w:rPr>
      <w:kern w:val="2"/>
      <w:sz w:val="18"/>
      <w:szCs w:val="18"/>
    </w:rPr>
  </w:style>
  <w:style w:type="character" w:customStyle="1" w:styleId="60">
    <w:name w:val="NormalCharacter"/>
    <w:semiHidden/>
    <w:qFormat/>
    <w:uiPriority w:val="0"/>
  </w:style>
  <w:style w:type="paragraph" w:customStyle="1" w:styleId="61">
    <w:name w:val="Body text|1"/>
    <w:basedOn w:val="1"/>
    <w:qFormat/>
    <w:uiPriority w:val="0"/>
    <w:pPr>
      <w:widowControl w:val="0"/>
      <w:shd w:val="clear" w:color="auto" w:fill="auto"/>
      <w:spacing w:line="415" w:lineRule="auto"/>
      <w:ind w:firstLine="400"/>
    </w:pPr>
    <w:rPr>
      <w:rFonts w:ascii="宋体" w:hAnsi="宋体" w:eastAsia="宋体" w:cs="宋体"/>
      <w:sz w:val="22"/>
      <w:szCs w:val="22"/>
      <w:u w:val="none"/>
      <w:shd w:val="clear" w:color="auto" w:fill="auto"/>
      <w:lang w:val="zh-TW" w:eastAsia="zh-TW" w:bidi="zh-TW"/>
    </w:rPr>
  </w:style>
  <w:style w:type="paragraph" w:customStyle="1" w:styleId="62">
    <w:name w:val="blockquote"/>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BB4A2F-9C44-4883-BFD9-B21FF0676016}">
  <ds:schemaRefs/>
</ds:datastoreItem>
</file>

<file path=docProps/app.xml><?xml version="1.0" encoding="utf-8"?>
<Properties xmlns="http://schemas.openxmlformats.org/officeDocument/2006/extended-properties" xmlns:vt="http://schemas.openxmlformats.org/officeDocument/2006/docPropsVTypes">
  <Template>Normal</Template>
  <Pages>33</Pages>
  <Words>16564</Words>
  <Characters>17674</Characters>
  <Lines>276</Lines>
  <Paragraphs>77</Paragraphs>
  <TotalTime>1</TotalTime>
  <ScaleCrop>false</ScaleCrop>
  <LinksUpToDate>false</LinksUpToDate>
  <CharactersWithSpaces>18810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2020-09-27T08:53:00Z</dcterms:created>
  <dc:creator>Administrator</dc:creator>
  <cp:lastModifiedBy>asus</cp:lastModifiedBy>
  <cp:lastPrinted>2023-08-22T01:04:00Z</cp:lastPrinted>
  <dcterms:modified xsi:type="dcterms:W3CDTF">2025-09-16T06:57:18Z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9021DF1081644FF79A9D5D51F27BC78E_13</vt:lpwstr>
  </property>
  <property fmtid="{D5CDD505-2E9C-101B-9397-08002B2CF9AE}" pid="4" name="KSOTemplateDocerSaveRecord">
    <vt:lpwstr>eyJoZGlkIjoiNmE3ZjI3NjBiMTRjY2ViMjBjNzFmMzE5YWE1OWYzZTciLCJ1c2VySWQiOiI0NDYyNzA4NTAifQ==</vt:lpwstr>
  </property>
</Properties>
</file>